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0CD9" w14:textId="77777777" w:rsidR="0098687C" w:rsidRPr="00A776CB" w:rsidRDefault="0098687C" w:rsidP="0098687C">
      <w:pPr>
        <w:tabs>
          <w:tab w:val="left" w:pos="567"/>
        </w:tabs>
        <w:spacing w:before="17" w:line="240" w:lineRule="auto"/>
        <w:jc w:val="both"/>
        <w:textAlignment w:val="baseline"/>
        <w:rPr>
          <w:rFonts w:ascii="Bookman Old Style" w:eastAsia="Arial" w:hAnsi="Bookman Old Style"/>
          <w:sz w:val="28"/>
          <w:szCs w:val="28"/>
          <w:lang w:val="el-GR"/>
        </w:rPr>
      </w:pPr>
      <w:bookmarkStart w:id="0" w:name="_GoBack"/>
      <w:bookmarkEnd w:id="0"/>
      <w:r w:rsidRPr="00A776CB">
        <w:rPr>
          <w:rFonts w:ascii="Bookman Old Style" w:eastAsia="Arial" w:hAnsi="Bookman Old Style"/>
          <w:sz w:val="28"/>
          <w:szCs w:val="28"/>
          <w:lang w:val="el-GR"/>
        </w:rPr>
        <w:t>ΑΝΩΤΑΤΟ ΔΙΚΑΣΤΗΡΙΟ ΚΥΠΡΟΥ</w:t>
      </w:r>
    </w:p>
    <w:p w14:paraId="475EC2D7" w14:textId="77777777" w:rsidR="0098687C" w:rsidRPr="00A776CB" w:rsidRDefault="0098687C" w:rsidP="0098687C">
      <w:pPr>
        <w:tabs>
          <w:tab w:val="left" w:pos="8352"/>
        </w:tabs>
        <w:spacing w:before="19" w:line="240" w:lineRule="auto"/>
        <w:jc w:val="both"/>
        <w:textAlignment w:val="baseline"/>
        <w:rPr>
          <w:rFonts w:ascii="Bookman Old Style" w:eastAsia="Arial" w:hAnsi="Bookman Old Style"/>
          <w:sz w:val="28"/>
          <w:szCs w:val="28"/>
          <w:lang w:val="el-GR"/>
        </w:rPr>
      </w:pPr>
      <w:r w:rsidRPr="00A776CB">
        <w:rPr>
          <w:rFonts w:ascii="Bookman Old Style" w:eastAsia="Arial" w:hAnsi="Bookman Old Style"/>
          <w:sz w:val="28"/>
          <w:szCs w:val="28"/>
          <w:lang w:val="el-GR"/>
        </w:rPr>
        <w:t>ΠΡΩΤΟΒΑΘΜΙΑ ΔΙΚΑΙΟΔΟΣΙΑ</w:t>
      </w:r>
      <w:r w:rsidRPr="00A776CB">
        <w:rPr>
          <w:rFonts w:ascii="Bookman Old Style" w:eastAsia="Arial" w:hAnsi="Bookman Old Style"/>
          <w:sz w:val="28"/>
          <w:szCs w:val="28"/>
          <w:lang w:val="el-GR"/>
        </w:rPr>
        <w:tab/>
      </w:r>
    </w:p>
    <w:p w14:paraId="19657C10" w14:textId="77777777" w:rsidR="0098687C" w:rsidRPr="00A776CB" w:rsidRDefault="0098687C" w:rsidP="0098687C">
      <w:pPr>
        <w:jc w:val="right"/>
        <w:rPr>
          <w:rFonts w:ascii="Bookman Old Style" w:hAnsi="Bookman Old Style"/>
          <w:sz w:val="28"/>
          <w:szCs w:val="28"/>
          <w:lang w:val="el-GR"/>
        </w:rPr>
      </w:pPr>
      <w:r w:rsidRPr="00A776CB">
        <w:rPr>
          <w:rFonts w:ascii="Bookman Old Style" w:hAnsi="Bookman Old Style"/>
          <w:sz w:val="28"/>
          <w:szCs w:val="28"/>
          <w:lang w:val="el-GR"/>
        </w:rPr>
        <w:t>(</w:t>
      </w:r>
      <w:r w:rsidRPr="00A776CB">
        <w:rPr>
          <w:rFonts w:ascii="Bookman Old Style" w:hAnsi="Bookman Old Style"/>
          <w:i/>
          <w:sz w:val="28"/>
          <w:szCs w:val="28"/>
          <w:lang w:val="el-GR"/>
        </w:rPr>
        <w:t xml:space="preserve">Πολιτική Αίτηση Αρ. </w:t>
      </w:r>
      <w:r w:rsidRPr="0098687C">
        <w:rPr>
          <w:rFonts w:ascii="Bookman Old Style" w:hAnsi="Bookman Old Style"/>
          <w:i/>
          <w:sz w:val="28"/>
          <w:szCs w:val="28"/>
          <w:lang w:val="el-GR"/>
        </w:rPr>
        <w:t>90</w:t>
      </w:r>
      <w:r w:rsidRPr="00A776CB">
        <w:rPr>
          <w:rFonts w:ascii="Bookman Old Style" w:hAnsi="Bookman Old Style"/>
          <w:i/>
          <w:sz w:val="28"/>
          <w:szCs w:val="28"/>
          <w:lang w:val="el-GR"/>
        </w:rPr>
        <w:t>/2023</w:t>
      </w:r>
      <w:r w:rsidRPr="00A776CB">
        <w:rPr>
          <w:rFonts w:ascii="Bookman Old Style" w:hAnsi="Bookman Old Style"/>
          <w:sz w:val="28"/>
          <w:szCs w:val="28"/>
          <w:lang w:val="el-GR"/>
        </w:rPr>
        <w:t>)</w:t>
      </w:r>
    </w:p>
    <w:p w14:paraId="65553000" w14:textId="77777777" w:rsidR="0098687C" w:rsidRPr="00A776CB" w:rsidRDefault="0098687C" w:rsidP="0098687C">
      <w:pPr>
        <w:spacing w:after="0" w:line="240" w:lineRule="auto"/>
        <w:jc w:val="center"/>
        <w:rPr>
          <w:rFonts w:ascii="Bookman Old Style" w:hAnsi="Bookman Old Style"/>
          <w:sz w:val="28"/>
          <w:szCs w:val="28"/>
          <w:lang w:val="el-GR"/>
        </w:rPr>
      </w:pPr>
    </w:p>
    <w:p w14:paraId="101F6710" w14:textId="6F692BDE" w:rsidR="0098687C" w:rsidRPr="00A776CB" w:rsidRDefault="00AF6091" w:rsidP="0098687C">
      <w:pPr>
        <w:jc w:val="center"/>
        <w:rPr>
          <w:rFonts w:ascii="Bookman Old Style" w:hAnsi="Bookman Old Style"/>
          <w:sz w:val="28"/>
          <w:szCs w:val="28"/>
          <w:lang w:val="el-GR"/>
        </w:rPr>
      </w:pPr>
      <w:r>
        <w:rPr>
          <w:rFonts w:ascii="Bookman Old Style" w:hAnsi="Bookman Old Style"/>
          <w:sz w:val="28"/>
          <w:szCs w:val="28"/>
          <w:lang w:val="el-GR"/>
        </w:rPr>
        <w:t xml:space="preserve">29 </w:t>
      </w:r>
      <w:r w:rsidR="0098687C">
        <w:rPr>
          <w:rFonts w:ascii="Bookman Old Style" w:hAnsi="Bookman Old Style"/>
          <w:sz w:val="28"/>
          <w:szCs w:val="28"/>
          <w:lang w:val="el-GR"/>
        </w:rPr>
        <w:t>Αυγούστου</w:t>
      </w:r>
      <w:r w:rsidR="0098687C" w:rsidRPr="00A776CB">
        <w:rPr>
          <w:rFonts w:ascii="Bookman Old Style" w:hAnsi="Bookman Old Style"/>
          <w:sz w:val="28"/>
          <w:szCs w:val="28"/>
          <w:lang w:val="el-GR"/>
        </w:rPr>
        <w:t>, 2023</w:t>
      </w:r>
    </w:p>
    <w:p w14:paraId="1FC19C58" w14:textId="77777777" w:rsidR="0098687C" w:rsidRPr="00A776CB" w:rsidRDefault="0098687C" w:rsidP="0098687C">
      <w:pPr>
        <w:spacing w:after="0" w:line="240" w:lineRule="auto"/>
        <w:jc w:val="center"/>
        <w:rPr>
          <w:rFonts w:ascii="Bookman Old Style" w:hAnsi="Bookman Old Style"/>
          <w:sz w:val="28"/>
          <w:szCs w:val="28"/>
          <w:lang w:val="el-GR"/>
        </w:rPr>
      </w:pPr>
    </w:p>
    <w:p w14:paraId="6197930A" w14:textId="77777777" w:rsidR="0098687C" w:rsidRDefault="0098687C" w:rsidP="0098687C">
      <w:pPr>
        <w:jc w:val="center"/>
        <w:rPr>
          <w:rFonts w:ascii="Bookman Old Style" w:hAnsi="Bookman Old Style"/>
          <w:sz w:val="28"/>
          <w:szCs w:val="28"/>
          <w:lang w:val="el-GR"/>
        </w:rPr>
      </w:pPr>
      <w:r w:rsidRPr="00A776CB">
        <w:rPr>
          <w:rFonts w:ascii="Bookman Old Style" w:hAnsi="Bookman Old Style"/>
          <w:sz w:val="28"/>
          <w:szCs w:val="28"/>
          <w:lang w:val="el-GR"/>
        </w:rPr>
        <w:t>[ΔΑΥΙΔ, Δ/</w:t>
      </w:r>
      <w:proofErr w:type="spellStart"/>
      <w:r w:rsidRPr="00A776CB">
        <w:rPr>
          <w:rFonts w:ascii="Bookman Old Style" w:hAnsi="Bookman Old Style"/>
          <w:sz w:val="28"/>
          <w:szCs w:val="28"/>
          <w:lang w:val="el-GR"/>
        </w:rPr>
        <w:t>στής</w:t>
      </w:r>
      <w:proofErr w:type="spellEnd"/>
      <w:r w:rsidRPr="00A776CB">
        <w:rPr>
          <w:rFonts w:ascii="Bookman Old Style" w:hAnsi="Bookman Old Style"/>
          <w:sz w:val="28"/>
          <w:szCs w:val="28"/>
          <w:lang w:val="el-GR"/>
        </w:rPr>
        <w:t>]</w:t>
      </w:r>
    </w:p>
    <w:p w14:paraId="0EF0D3E2" w14:textId="77777777" w:rsidR="0098687C" w:rsidRDefault="0098687C" w:rsidP="0098687C">
      <w:pPr>
        <w:jc w:val="center"/>
        <w:rPr>
          <w:rFonts w:ascii="Bookman Old Style" w:hAnsi="Bookman Old Style"/>
          <w:sz w:val="28"/>
          <w:szCs w:val="28"/>
          <w:lang w:val="el-GR"/>
        </w:rPr>
      </w:pPr>
    </w:p>
    <w:p w14:paraId="47FD3222" w14:textId="77777777" w:rsidR="0098687C" w:rsidRPr="0053721D" w:rsidRDefault="0098687C" w:rsidP="0098687C">
      <w:pPr>
        <w:pStyle w:val="BodyText"/>
        <w:spacing w:line="298" w:lineRule="auto"/>
        <w:jc w:val="both"/>
        <w:rPr>
          <w:rFonts w:ascii="Bookman Old Style" w:hAnsi="Bookman Old Style"/>
          <w:sz w:val="28"/>
          <w:szCs w:val="28"/>
          <w:lang w:val="el-GR"/>
        </w:rPr>
      </w:pPr>
      <w:r w:rsidRPr="0053721D">
        <w:rPr>
          <w:rStyle w:val="BodyTextChar"/>
          <w:rFonts w:ascii="Bookman Old Style" w:hAnsi="Bookman Old Style"/>
          <w:sz w:val="28"/>
          <w:szCs w:val="28"/>
          <w:lang w:val="el-GR"/>
        </w:rPr>
        <w:t xml:space="preserve">ΑΝΑΦΟΡΙΚΑ ΜΕ ΤΟ ΑΡΘΡΟ 155.4 ΤΟΥ ΣΥΝΤΑΓΜΑΤΟΣ ΚΑΙ ΤΑ ΑΡΘΡΑ 3 ΚΑΙ 9 ΤΟΥ </w:t>
      </w:r>
      <w:r w:rsidRPr="0053721D">
        <w:rPr>
          <w:rStyle w:val="BodyTextChar"/>
          <w:rFonts w:ascii="Bookman Old Style" w:hAnsi="Bookman Old Style"/>
          <w:color w:val="22273E"/>
          <w:sz w:val="28"/>
          <w:szCs w:val="28"/>
          <w:lang w:val="el-GR"/>
        </w:rPr>
        <w:t xml:space="preserve">ΠΕΡΙ </w:t>
      </w:r>
      <w:r w:rsidRPr="0053721D">
        <w:rPr>
          <w:rStyle w:val="BodyTextChar"/>
          <w:rFonts w:ascii="Bookman Old Style" w:hAnsi="Bookman Old Style"/>
          <w:sz w:val="28"/>
          <w:szCs w:val="28"/>
          <w:lang w:val="el-GR"/>
        </w:rPr>
        <w:t>ΑΠΟΝΟΜΗΣ ΤΗΣ ΔΙΚΑΙΟΣΥΝΗΣ (ΠΟΙΚΙΛΑ</w:t>
      </w:r>
      <w:r>
        <w:rPr>
          <w:rStyle w:val="BodyTextChar"/>
          <w:rFonts w:ascii="Bookman Old Style" w:hAnsi="Bookman Old Style"/>
          <w:sz w:val="28"/>
          <w:szCs w:val="28"/>
          <w:lang w:val="el-GR"/>
        </w:rPr>
        <w:t>Ι</w:t>
      </w:r>
      <w:r w:rsidRPr="0053721D">
        <w:rPr>
          <w:rStyle w:val="BodyTextChar"/>
          <w:rFonts w:ascii="Bookman Old Style" w:hAnsi="Bookman Old Style"/>
          <w:sz w:val="28"/>
          <w:szCs w:val="28"/>
          <w:lang w:val="el-GR"/>
        </w:rPr>
        <w:t xml:space="preserve"> ΔΙΑΤΑΞΕΙΣ) ΝΟΜΟΥ ΤΟΥ 1964</w:t>
      </w:r>
    </w:p>
    <w:p w14:paraId="5779228F" w14:textId="77777777" w:rsidR="0098687C" w:rsidRPr="0053721D" w:rsidRDefault="0098687C" w:rsidP="0098687C">
      <w:pPr>
        <w:pStyle w:val="Heading20"/>
        <w:keepNext/>
        <w:keepLines/>
        <w:spacing w:after="0" w:line="240" w:lineRule="auto"/>
        <w:rPr>
          <w:rFonts w:ascii="Bookman Old Style" w:hAnsi="Bookman Old Style"/>
          <w:sz w:val="28"/>
          <w:szCs w:val="28"/>
          <w:lang w:val="el-GR"/>
        </w:rPr>
      </w:pPr>
      <w:bookmarkStart w:id="1" w:name="bookmark4"/>
      <w:r w:rsidRPr="0053721D">
        <w:rPr>
          <w:rStyle w:val="Heading2"/>
          <w:rFonts w:ascii="Bookman Old Style" w:hAnsi="Bookman Old Style"/>
          <w:sz w:val="28"/>
          <w:szCs w:val="28"/>
          <w:lang w:val="el-GR"/>
        </w:rPr>
        <w:t>ΚΑΙ</w:t>
      </w:r>
      <w:bookmarkEnd w:id="1"/>
    </w:p>
    <w:p w14:paraId="5D2FAA7A" w14:textId="77777777" w:rsidR="0098687C" w:rsidRPr="0053721D" w:rsidRDefault="0098687C" w:rsidP="0098687C">
      <w:pPr>
        <w:pStyle w:val="BodyText"/>
        <w:spacing w:before="240" w:line="302" w:lineRule="auto"/>
        <w:jc w:val="both"/>
        <w:rPr>
          <w:rFonts w:ascii="Bookman Old Style" w:hAnsi="Bookman Old Style"/>
          <w:sz w:val="28"/>
          <w:szCs w:val="28"/>
          <w:lang w:val="el-GR"/>
        </w:rPr>
      </w:pPr>
      <w:r w:rsidRPr="0053721D">
        <w:rPr>
          <w:rStyle w:val="BodyTextChar"/>
          <w:rFonts w:ascii="Bookman Old Style" w:hAnsi="Bookman Old Style"/>
          <w:sz w:val="28"/>
          <w:szCs w:val="28"/>
          <w:lang w:val="el-GR"/>
        </w:rPr>
        <w:t>ΑΝΑΦΟΡΙΚΑ ΜΕ ΤΟΝ ΠΕΡΙ ΑΝΩΤΑΤΟΥ ΔΙΚΑΣΤΗΡΙΟΥ (ΔΙΚΑΙΟΔΟΣΙΑ ΕΚΔΟΣΗΣ ΕΝΤΑΛΜΑΤΩΝ ΠΡΟΝΟΜΙΑΚΗΣ ΦΥΣΕΩΣ) ΔΙΑΔΙΚΑΣΤΙΚΟ ΚΑΝΟΝΙΣΜΟ ΤΟΥ 2018</w:t>
      </w:r>
    </w:p>
    <w:p w14:paraId="08AC050E" w14:textId="77777777" w:rsidR="0098687C" w:rsidRPr="0053721D" w:rsidRDefault="0098687C" w:rsidP="0098687C">
      <w:pPr>
        <w:pStyle w:val="Heading20"/>
        <w:keepNext/>
        <w:keepLines/>
        <w:spacing w:after="0" w:line="295" w:lineRule="auto"/>
        <w:rPr>
          <w:rFonts w:ascii="Bookman Old Style" w:hAnsi="Bookman Old Style"/>
          <w:sz w:val="28"/>
          <w:szCs w:val="28"/>
          <w:lang w:val="el-GR"/>
        </w:rPr>
      </w:pPr>
      <w:bookmarkStart w:id="2" w:name="bookmark6"/>
      <w:r w:rsidRPr="0053721D">
        <w:rPr>
          <w:rStyle w:val="Heading2"/>
          <w:rFonts w:ascii="Bookman Old Style" w:hAnsi="Bookman Old Style"/>
          <w:sz w:val="28"/>
          <w:szCs w:val="28"/>
          <w:lang w:val="el-GR"/>
        </w:rPr>
        <w:t>ΚΑΙ</w:t>
      </w:r>
      <w:bookmarkEnd w:id="2"/>
    </w:p>
    <w:p w14:paraId="4A4AB1CB" w14:textId="77777777" w:rsidR="0098687C" w:rsidRPr="0053721D" w:rsidRDefault="0098687C" w:rsidP="0098687C">
      <w:pPr>
        <w:pStyle w:val="BodyText"/>
        <w:spacing w:before="240" w:line="295" w:lineRule="auto"/>
        <w:jc w:val="both"/>
        <w:rPr>
          <w:rFonts w:ascii="Bookman Old Style" w:hAnsi="Bookman Old Style"/>
          <w:sz w:val="28"/>
          <w:szCs w:val="28"/>
          <w:lang w:val="el-GR"/>
        </w:rPr>
      </w:pPr>
      <w:r w:rsidRPr="0053721D">
        <w:rPr>
          <w:rStyle w:val="BodyTextChar"/>
          <w:rFonts w:ascii="Bookman Old Style" w:hAnsi="Bookman Old Style"/>
          <w:sz w:val="28"/>
          <w:szCs w:val="28"/>
          <w:lang w:val="el-GR"/>
        </w:rPr>
        <w:t xml:space="preserve">ΑΝΑΦΟΡΙΚΑ ΜΕ ΤΗΝ ΑΙΤΗΣΗ ΤΩΝ 1. </w:t>
      </w:r>
      <w:r w:rsidRPr="00A776CB">
        <w:rPr>
          <w:rStyle w:val="BodyTextChar"/>
          <w:rFonts w:ascii="Bookman Old Style" w:hAnsi="Bookman Old Style"/>
          <w:sz w:val="28"/>
          <w:szCs w:val="28"/>
          <w:lang w:bidi="en-US"/>
        </w:rPr>
        <w:t>AYOUB</w:t>
      </w:r>
      <w:r w:rsidRPr="0053721D">
        <w:rPr>
          <w:rStyle w:val="BodyTextChar"/>
          <w:rFonts w:ascii="Bookman Old Style" w:hAnsi="Bookman Old Style"/>
          <w:sz w:val="28"/>
          <w:szCs w:val="28"/>
          <w:lang w:val="el-GR" w:bidi="en-US"/>
        </w:rPr>
        <w:t xml:space="preserve"> </w:t>
      </w:r>
      <w:r w:rsidRPr="00A776CB">
        <w:rPr>
          <w:rStyle w:val="BodyTextChar"/>
          <w:rFonts w:ascii="Bookman Old Style" w:hAnsi="Bookman Old Style"/>
          <w:sz w:val="28"/>
          <w:szCs w:val="28"/>
          <w:lang w:bidi="en-US"/>
        </w:rPr>
        <w:t>FARID</w:t>
      </w:r>
      <w:r w:rsidRPr="0053721D">
        <w:rPr>
          <w:rStyle w:val="BodyTextChar"/>
          <w:rFonts w:ascii="Bookman Old Style" w:hAnsi="Bookman Old Style"/>
          <w:sz w:val="28"/>
          <w:szCs w:val="28"/>
          <w:lang w:val="el-GR" w:bidi="en-US"/>
        </w:rPr>
        <w:t xml:space="preserve"> </w:t>
      </w:r>
      <w:r w:rsidRPr="00A776CB">
        <w:rPr>
          <w:rStyle w:val="BodyTextChar"/>
          <w:rFonts w:ascii="Bookman Old Style" w:hAnsi="Bookman Old Style"/>
          <w:sz w:val="28"/>
          <w:szCs w:val="28"/>
          <w:lang w:bidi="en-US"/>
        </w:rPr>
        <w:t>MICHEL</w:t>
      </w:r>
      <w:r w:rsidRPr="0053721D">
        <w:rPr>
          <w:rStyle w:val="BodyTextChar"/>
          <w:rFonts w:ascii="Bookman Old Style" w:hAnsi="Bookman Old Style"/>
          <w:sz w:val="28"/>
          <w:szCs w:val="28"/>
          <w:lang w:val="el-GR" w:bidi="en-US"/>
        </w:rPr>
        <w:t xml:space="preserve"> </w:t>
      </w:r>
      <w:r w:rsidRPr="00A776CB">
        <w:rPr>
          <w:rStyle w:val="BodyTextChar"/>
          <w:rFonts w:ascii="Bookman Old Style" w:hAnsi="Bookman Old Style"/>
          <w:sz w:val="28"/>
          <w:szCs w:val="28"/>
          <w:lang w:bidi="en-US"/>
        </w:rPr>
        <w:t>SAAB</w:t>
      </w:r>
      <w:r w:rsidRPr="0053721D">
        <w:rPr>
          <w:rStyle w:val="BodyTextChar"/>
          <w:rFonts w:ascii="Bookman Old Style" w:hAnsi="Bookman Old Style"/>
          <w:sz w:val="28"/>
          <w:szCs w:val="28"/>
          <w:lang w:val="el-GR" w:bidi="en-US"/>
        </w:rPr>
        <w:t xml:space="preserve"> </w:t>
      </w:r>
      <w:r w:rsidRPr="0053721D">
        <w:rPr>
          <w:rStyle w:val="BodyTextChar"/>
          <w:rFonts w:ascii="Bookman Old Style" w:hAnsi="Bookman Old Style"/>
          <w:color w:val="22273E"/>
          <w:sz w:val="28"/>
          <w:szCs w:val="28"/>
          <w:lang w:val="el-GR" w:bidi="en-US"/>
        </w:rPr>
        <w:t xml:space="preserve">2. </w:t>
      </w:r>
      <w:r w:rsidRPr="00A776CB">
        <w:rPr>
          <w:rStyle w:val="BodyTextChar"/>
          <w:rFonts w:ascii="Bookman Old Style" w:hAnsi="Bookman Old Style"/>
          <w:sz w:val="28"/>
          <w:szCs w:val="28"/>
          <w:lang w:bidi="en-US"/>
        </w:rPr>
        <w:t>MICHEL</w:t>
      </w:r>
      <w:r w:rsidRPr="0053721D">
        <w:rPr>
          <w:rStyle w:val="BodyTextChar"/>
          <w:rFonts w:ascii="Bookman Old Style" w:hAnsi="Bookman Old Style"/>
          <w:sz w:val="28"/>
          <w:szCs w:val="28"/>
          <w:lang w:val="el-GR" w:bidi="en-US"/>
        </w:rPr>
        <w:t xml:space="preserve"> </w:t>
      </w:r>
      <w:r w:rsidRPr="00A776CB">
        <w:rPr>
          <w:rStyle w:val="BodyTextChar"/>
          <w:rFonts w:ascii="Bookman Old Style" w:hAnsi="Bookman Old Style"/>
          <w:sz w:val="28"/>
          <w:szCs w:val="28"/>
          <w:lang w:bidi="en-US"/>
        </w:rPr>
        <w:t>NORBERT</w:t>
      </w:r>
      <w:r w:rsidRPr="0053721D">
        <w:rPr>
          <w:rStyle w:val="BodyTextChar"/>
          <w:rFonts w:ascii="Bookman Old Style" w:hAnsi="Bookman Old Style"/>
          <w:sz w:val="28"/>
          <w:szCs w:val="28"/>
          <w:lang w:val="el-GR" w:bidi="en-US"/>
        </w:rPr>
        <w:t xml:space="preserve"> </w:t>
      </w:r>
      <w:r w:rsidRPr="00A776CB">
        <w:rPr>
          <w:rStyle w:val="BodyTextChar"/>
          <w:rFonts w:ascii="Bookman Old Style" w:hAnsi="Bookman Old Style"/>
          <w:sz w:val="28"/>
          <w:szCs w:val="28"/>
          <w:lang w:bidi="en-US"/>
        </w:rPr>
        <w:t>SAAB</w:t>
      </w:r>
      <w:r w:rsidRPr="0053721D">
        <w:rPr>
          <w:rStyle w:val="BodyTextChar"/>
          <w:rFonts w:ascii="Bookman Old Style" w:hAnsi="Bookman Old Style"/>
          <w:sz w:val="28"/>
          <w:szCs w:val="28"/>
          <w:lang w:val="el-GR" w:bidi="en-US"/>
        </w:rPr>
        <w:t xml:space="preserve"> </w:t>
      </w:r>
      <w:r w:rsidRPr="0053721D">
        <w:rPr>
          <w:rStyle w:val="BodyTextChar"/>
          <w:rFonts w:ascii="Bookman Old Style" w:hAnsi="Bookman Old Style"/>
          <w:sz w:val="28"/>
          <w:szCs w:val="28"/>
          <w:lang w:val="el-GR"/>
        </w:rPr>
        <w:t xml:space="preserve">(ΥΠΟ ΤΗΝ ΙΔΙΟΤΗΤΑ </w:t>
      </w:r>
      <w:r w:rsidRPr="00A776CB">
        <w:rPr>
          <w:rStyle w:val="BodyTextChar"/>
          <w:rFonts w:ascii="Bookman Old Style" w:hAnsi="Bookman Old Style"/>
          <w:sz w:val="28"/>
          <w:szCs w:val="28"/>
          <w:lang w:bidi="en-US"/>
        </w:rPr>
        <w:t>TOY</w:t>
      </w:r>
      <w:r w:rsidRPr="0053721D">
        <w:rPr>
          <w:rStyle w:val="BodyTextChar"/>
          <w:rFonts w:ascii="Bookman Old Style" w:hAnsi="Bookman Old Style"/>
          <w:sz w:val="28"/>
          <w:szCs w:val="28"/>
          <w:lang w:val="el-GR" w:bidi="en-US"/>
        </w:rPr>
        <w:t xml:space="preserve"> </w:t>
      </w:r>
      <w:r w:rsidRPr="0053721D">
        <w:rPr>
          <w:rStyle w:val="BodyTextChar"/>
          <w:rFonts w:ascii="Bookman Old Style" w:hAnsi="Bookman Old Style"/>
          <w:sz w:val="28"/>
          <w:szCs w:val="28"/>
          <w:lang w:val="el-GR"/>
        </w:rPr>
        <w:t xml:space="preserve">ΩΣ ΔΙΑΧΕΙΡΙΣΤΗΣ ΤΗΣ ΠΕΡΙΟΥΣΙΑΣ ΤΟΥ ΑΠΟΒΙΩΣΑΝΤΑ </w:t>
      </w:r>
      <w:r w:rsidRPr="00A776CB">
        <w:rPr>
          <w:rStyle w:val="BodyTextChar"/>
          <w:rFonts w:ascii="Bookman Old Style" w:hAnsi="Bookman Old Style"/>
          <w:sz w:val="28"/>
          <w:szCs w:val="28"/>
          <w:lang w:bidi="en-US"/>
        </w:rPr>
        <w:t>FADI</w:t>
      </w:r>
      <w:r w:rsidRPr="0053721D">
        <w:rPr>
          <w:rStyle w:val="BodyTextChar"/>
          <w:rFonts w:ascii="Bookman Old Style" w:hAnsi="Bookman Old Style"/>
          <w:sz w:val="28"/>
          <w:szCs w:val="28"/>
          <w:lang w:val="el-GR" w:bidi="en-US"/>
        </w:rPr>
        <w:t xml:space="preserve"> </w:t>
      </w:r>
      <w:r w:rsidRPr="00A776CB">
        <w:rPr>
          <w:rStyle w:val="BodyTextChar"/>
          <w:rFonts w:ascii="Bookman Old Style" w:hAnsi="Bookman Old Style"/>
          <w:sz w:val="28"/>
          <w:szCs w:val="28"/>
          <w:lang w:bidi="en-US"/>
        </w:rPr>
        <w:t>MICHEL</w:t>
      </w:r>
      <w:r w:rsidRPr="0053721D">
        <w:rPr>
          <w:rStyle w:val="BodyTextChar"/>
          <w:rFonts w:ascii="Bookman Old Style" w:hAnsi="Bookman Old Style"/>
          <w:sz w:val="28"/>
          <w:szCs w:val="28"/>
          <w:lang w:val="el-GR" w:bidi="en-US"/>
        </w:rPr>
        <w:t xml:space="preserve"> </w:t>
      </w:r>
      <w:r w:rsidRPr="00A776CB">
        <w:rPr>
          <w:rStyle w:val="BodyTextChar"/>
          <w:rFonts w:ascii="Bookman Old Style" w:hAnsi="Bookman Old Style"/>
          <w:sz w:val="28"/>
          <w:szCs w:val="28"/>
          <w:lang w:bidi="en-US"/>
        </w:rPr>
        <w:t>SAAB</w:t>
      </w:r>
      <w:r w:rsidRPr="0053721D">
        <w:rPr>
          <w:rStyle w:val="BodyTextChar"/>
          <w:rFonts w:ascii="Bookman Old Style" w:hAnsi="Bookman Old Style"/>
          <w:sz w:val="28"/>
          <w:szCs w:val="28"/>
          <w:lang w:val="el-GR" w:bidi="en-US"/>
        </w:rPr>
        <w:t xml:space="preserve">) </w:t>
      </w:r>
      <w:r w:rsidRPr="0053721D">
        <w:rPr>
          <w:rStyle w:val="BodyTextChar"/>
          <w:rFonts w:ascii="Bookman Old Style" w:hAnsi="Bookman Old Style"/>
          <w:sz w:val="28"/>
          <w:szCs w:val="28"/>
          <w:lang w:val="el-GR"/>
        </w:rPr>
        <w:t xml:space="preserve">ΓΙΑ ΑΔΕΙΑ ΓΙΑ ΤΗΝ ΚΑΤΑΧΩΡΗΣΗ ΑΙΤΗΣΗΣ ΓΙΑ ΤΗΝ ΕΚΔΟΣΗ ΕΝΤΑΛΜΑΤΟΣ </w:t>
      </w:r>
      <w:r w:rsidRPr="00A776CB">
        <w:rPr>
          <w:rStyle w:val="BodyTextChar"/>
          <w:rFonts w:ascii="Bookman Old Style" w:hAnsi="Bookman Old Style"/>
          <w:sz w:val="28"/>
          <w:szCs w:val="28"/>
          <w:lang w:bidi="en-US"/>
        </w:rPr>
        <w:t>CERTIORARI</w:t>
      </w:r>
    </w:p>
    <w:p w14:paraId="2E938C11" w14:textId="77777777" w:rsidR="0098687C" w:rsidRPr="0053721D" w:rsidRDefault="0098687C" w:rsidP="0098687C">
      <w:pPr>
        <w:pStyle w:val="Heading20"/>
        <w:keepNext/>
        <w:keepLines/>
        <w:spacing w:after="0"/>
        <w:rPr>
          <w:rFonts w:ascii="Bookman Old Style" w:hAnsi="Bookman Old Style"/>
          <w:sz w:val="28"/>
          <w:szCs w:val="28"/>
          <w:lang w:val="el-GR"/>
        </w:rPr>
      </w:pPr>
      <w:bookmarkStart w:id="3" w:name="bookmark8"/>
      <w:r w:rsidRPr="0053721D">
        <w:rPr>
          <w:rStyle w:val="Heading2"/>
          <w:rFonts w:ascii="Bookman Old Style" w:hAnsi="Bookman Old Style"/>
          <w:sz w:val="28"/>
          <w:szCs w:val="28"/>
          <w:lang w:val="el-GR"/>
        </w:rPr>
        <w:t>ΚΑΙ</w:t>
      </w:r>
      <w:bookmarkEnd w:id="3"/>
    </w:p>
    <w:p w14:paraId="6D71416A" w14:textId="77777777" w:rsidR="0098687C" w:rsidRDefault="0098687C" w:rsidP="0098687C">
      <w:pPr>
        <w:pStyle w:val="BodyText"/>
        <w:spacing w:before="240" w:after="320" w:line="293" w:lineRule="auto"/>
        <w:jc w:val="both"/>
        <w:rPr>
          <w:rStyle w:val="BodyTextChar"/>
          <w:rFonts w:ascii="Bookman Old Style" w:hAnsi="Bookman Old Style"/>
          <w:sz w:val="28"/>
          <w:szCs w:val="28"/>
          <w:lang w:val="el-GR"/>
        </w:rPr>
      </w:pPr>
      <w:r w:rsidRPr="0053721D">
        <w:rPr>
          <w:rStyle w:val="BodyTextChar"/>
          <w:rFonts w:ascii="Bookman Old Style" w:hAnsi="Bookman Old Style"/>
          <w:sz w:val="28"/>
          <w:szCs w:val="28"/>
          <w:lang w:val="el-GR"/>
        </w:rPr>
        <w:t>ΑΝΑΦΟΡΙΚΑ ΜΕ ΤΗΝ ΔΙΚΑΣΤΙΚΗ ΑΠΟΦΑΣΗ ΗΜΕΡΟΜΗΝΙΑΣ 29/06/2023 Η ΟΠΟΙΑ ΕΚΔΟΘΗΚΕ ΣΤΑ ΠΛΑΙΣΙΑ ΤΗΣ ΑΙΤΗΣΗΣ ΥΠ’ ΑΡΙΘΜΟΝ 123/19 ΑΠΟ ΤΟ ΕΠΑΡΧΙΑΚΟ ΔΙΚΑΣΤΗΡΙΟ ΛΕΥΚΩΣΙΑΣ</w:t>
      </w:r>
    </w:p>
    <w:p w14:paraId="6D028931" w14:textId="0A9082A4" w:rsidR="00F75AB7" w:rsidRPr="00F75AB7" w:rsidRDefault="00F75AB7" w:rsidP="00F75AB7">
      <w:pPr>
        <w:pStyle w:val="BodyText"/>
        <w:spacing w:before="240" w:after="320" w:line="293" w:lineRule="auto"/>
        <w:jc w:val="center"/>
        <w:rPr>
          <w:rFonts w:ascii="Bookman Old Style" w:hAnsi="Bookman Old Style"/>
          <w:sz w:val="28"/>
          <w:szCs w:val="28"/>
        </w:rPr>
      </w:pPr>
      <w:r>
        <w:rPr>
          <w:rStyle w:val="BodyTextChar"/>
          <w:rFonts w:ascii="Bookman Old Style" w:hAnsi="Bookman Old Style"/>
          <w:sz w:val="28"/>
          <w:szCs w:val="28"/>
        </w:rPr>
        <w:t>………………….</w:t>
      </w:r>
    </w:p>
    <w:p w14:paraId="4ED5DC8F" w14:textId="079DA22A" w:rsidR="0098687C" w:rsidRPr="0083722D" w:rsidRDefault="002A3E62" w:rsidP="0098687C">
      <w:pPr>
        <w:tabs>
          <w:tab w:val="left" w:pos="567"/>
        </w:tabs>
        <w:ind w:left="567" w:right="-279"/>
        <w:jc w:val="both"/>
        <w:rPr>
          <w:rFonts w:ascii="Bookman Old Style" w:hAnsi="Bookman Old Style"/>
          <w:bCs/>
          <w:iCs/>
          <w:sz w:val="28"/>
          <w:szCs w:val="28"/>
          <w:lang w:val="el-GR"/>
        </w:rPr>
      </w:pPr>
      <w:r>
        <w:rPr>
          <w:rFonts w:ascii="Bookman Old Style" w:hAnsi="Bookman Old Style"/>
          <w:bCs/>
          <w:i/>
          <w:sz w:val="28"/>
          <w:szCs w:val="28"/>
          <w:lang w:val="el-GR"/>
        </w:rPr>
        <w:lastRenderedPageBreak/>
        <w:t>Γ.Ζ. Γεωργίου για Γιώργος Ζ. Γ</w:t>
      </w:r>
      <w:r w:rsidR="00303643">
        <w:rPr>
          <w:rFonts w:ascii="Bookman Old Style" w:hAnsi="Bookman Old Style"/>
          <w:bCs/>
          <w:i/>
          <w:sz w:val="28"/>
          <w:szCs w:val="28"/>
          <w:lang w:val="el-GR"/>
        </w:rPr>
        <w:t>ε</w:t>
      </w:r>
      <w:r>
        <w:rPr>
          <w:rFonts w:ascii="Bookman Old Style" w:hAnsi="Bookman Old Style"/>
          <w:bCs/>
          <w:i/>
          <w:sz w:val="28"/>
          <w:szCs w:val="28"/>
          <w:lang w:val="el-GR"/>
        </w:rPr>
        <w:t>ωργίου &amp; Συνεργάτες Δ.Ε.Π.Ε</w:t>
      </w:r>
      <w:r w:rsidR="0098687C" w:rsidRPr="0083722D">
        <w:rPr>
          <w:rFonts w:ascii="Bookman Old Style" w:hAnsi="Bookman Old Style"/>
          <w:bCs/>
          <w:i/>
          <w:sz w:val="28"/>
          <w:szCs w:val="28"/>
          <w:lang w:val="el-GR"/>
        </w:rPr>
        <w:t xml:space="preserve">, </w:t>
      </w:r>
      <w:r w:rsidR="0098687C" w:rsidRPr="0083722D">
        <w:rPr>
          <w:rFonts w:ascii="Bookman Old Style" w:hAnsi="Bookman Old Style"/>
          <w:bCs/>
          <w:iCs/>
          <w:sz w:val="28"/>
          <w:szCs w:val="28"/>
          <w:lang w:val="el-GR"/>
        </w:rPr>
        <w:t>για τους Αιτητές.</w:t>
      </w:r>
    </w:p>
    <w:p w14:paraId="77B97D18" w14:textId="77777777" w:rsidR="00F75AB7" w:rsidRDefault="00F75AB7" w:rsidP="0098687C">
      <w:pPr>
        <w:spacing w:after="0" w:line="360" w:lineRule="auto"/>
        <w:jc w:val="center"/>
        <w:rPr>
          <w:rFonts w:ascii="Bookman Old Style" w:eastAsia="Times New Roman" w:hAnsi="Bookman Old Style"/>
          <w:b/>
          <w:bCs/>
          <w:color w:val="000000"/>
          <w:kern w:val="0"/>
          <w:sz w:val="28"/>
          <w:szCs w:val="28"/>
          <w:u w:val="single"/>
          <w:lang w:val="el-GR"/>
          <w14:ligatures w14:val="none"/>
        </w:rPr>
      </w:pPr>
    </w:p>
    <w:p w14:paraId="27187343" w14:textId="64F074B0" w:rsidR="0098687C" w:rsidRPr="0083722D" w:rsidRDefault="0098687C" w:rsidP="00F75AB7">
      <w:pPr>
        <w:tabs>
          <w:tab w:val="left" w:pos="567"/>
        </w:tabs>
        <w:spacing w:after="0" w:line="360" w:lineRule="auto"/>
        <w:jc w:val="center"/>
        <w:rPr>
          <w:rFonts w:ascii="Bookman Old Style" w:eastAsia="Times New Roman" w:hAnsi="Bookman Old Style"/>
          <w:b/>
          <w:bCs/>
          <w:color w:val="000000"/>
          <w:kern w:val="0"/>
          <w:sz w:val="28"/>
          <w:szCs w:val="28"/>
          <w:u w:val="single"/>
          <w:lang w:val="el-GR"/>
          <w14:ligatures w14:val="none"/>
        </w:rPr>
      </w:pPr>
      <w:r w:rsidRPr="0083722D">
        <w:rPr>
          <w:rFonts w:ascii="Bookman Old Style" w:eastAsia="Times New Roman" w:hAnsi="Bookman Old Style"/>
          <w:b/>
          <w:bCs/>
          <w:color w:val="000000"/>
          <w:kern w:val="0"/>
          <w:sz w:val="28"/>
          <w:szCs w:val="28"/>
          <w:u w:val="single"/>
          <w:lang w:val="el-GR"/>
          <w14:ligatures w14:val="none"/>
        </w:rPr>
        <w:t>Α Π Ο Φ Α Σ Η</w:t>
      </w:r>
    </w:p>
    <w:p w14:paraId="700AA9AD" w14:textId="77777777" w:rsidR="0098687C" w:rsidRPr="0083722D" w:rsidRDefault="0098687C" w:rsidP="0098687C">
      <w:pPr>
        <w:spacing w:after="0" w:line="360" w:lineRule="auto"/>
        <w:jc w:val="center"/>
        <w:rPr>
          <w:rFonts w:ascii="Bookman Old Style" w:eastAsia="Times New Roman" w:hAnsi="Bookman Old Style"/>
          <w:color w:val="000000"/>
          <w:kern w:val="0"/>
          <w:sz w:val="28"/>
          <w:szCs w:val="28"/>
          <w:lang w:val="el-GR"/>
          <w14:ligatures w14:val="none"/>
        </w:rPr>
      </w:pPr>
    </w:p>
    <w:p w14:paraId="5917FF2F" w14:textId="1C140D27" w:rsidR="0098687C" w:rsidRDefault="0098687C" w:rsidP="0027383B">
      <w:pPr>
        <w:tabs>
          <w:tab w:val="left" w:pos="567"/>
        </w:tabs>
        <w:spacing w:after="0" w:line="480" w:lineRule="auto"/>
        <w:jc w:val="both"/>
        <w:rPr>
          <w:rStyle w:val="BodyTextChar"/>
          <w:rFonts w:ascii="Bookman Old Style" w:hAnsi="Bookman Old Style"/>
          <w:sz w:val="28"/>
          <w:szCs w:val="28"/>
          <w:lang w:val="el-GR"/>
        </w:rPr>
      </w:pPr>
      <w:r w:rsidRPr="0083722D">
        <w:rPr>
          <w:rFonts w:ascii="Bookman Old Style" w:eastAsia="Times New Roman" w:hAnsi="Bookman Old Style"/>
          <w:b/>
          <w:bCs/>
          <w:color w:val="000000"/>
          <w:kern w:val="0"/>
          <w:sz w:val="28"/>
          <w:szCs w:val="28"/>
          <w:lang w:val="el-GR"/>
          <w14:ligatures w14:val="none"/>
        </w:rPr>
        <w:tab/>
      </w:r>
      <w:r>
        <w:rPr>
          <w:rFonts w:ascii="Bookman Old Style" w:eastAsia="Times New Roman" w:hAnsi="Bookman Old Style"/>
          <w:b/>
          <w:bCs/>
          <w:color w:val="000000"/>
          <w:kern w:val="0"/>
          <w:sz w:val="28"/>
          <w:szCs w:val="28"/>
          <w:lang w:val="el-GR"/>
          <w14:ligatures w14:val="none"/>
        </w:rPr>
        <w:tab/>
      </w:r>
      <w:r w:rsidRPr="0083722D">
        <w:rPr>
          <w:rFonts w:ascii="Bookman Old Style" w:eastAsia="Times New Roman" w:hAnsi="Bookman Old Style"/>
          <w:b/>
          <w:bCs/>
          <w:color w:val="000000"/>
          <w:kern w:val="0"/>
          <w:sz w:val="28"/>
          <w:szCs w:val="28"/>
          <w:lang w:val="el-GR"/>
          <w14:ligatures w14:val="none"/>
        </w:rPr>
        <w:t>ΔΑΥΙΔ, Δ.</w:t>
      </w:r>
      <w:r w:rsidRPr="0083722D">
        <w:rPr>
          <w:rFonts w:ascii="Bookman Old Style" w:eastAsia="Times New Roman" w:hAnsi="Bookman Old Style"/>
          <w:color w:val="000000"/>
          <w:kern w:val="0"/>
          <w:sz w:val="28"/>
          <w:szCs w:val="28"/>
          <w:lang w:val="el-GR"/>
          <w14:ligatures w14:val="none"/>
        </w:rPr>
        <w:t>:</w:t>
      </w:r>
      <w:r w:rsidR="00B817C7">
        <w:rPr>
          <w:rFonts w:ascii="Bookman Old Style" w:eastAsia="Times New Roman" w:hAnsi="Bookman Old Style"/>
          <w:color w:val="000000"/>
          <w:kern w:val="0"/>
          <w:sz w:val="28"/>
          <w:szCs w:val="28"/>
          <w:lang w:val="el-GR"/>
          <w14:ligatures w14:val="none"/>
        </w:rPr>
        <w:t xml:space="preserve">  </w:t>
      </w:r>
      <w:r w:rsidR="008553ED">
        <w:rPr>
          <w:rFonts w:ascii="Bookman Old Style" w:eastAsia="Times New Roman" w:hAnsi="Bookman Old Style"/>
          <w:color w:val="000000"/>
          <w:kern w:val="0"/>
          <w:sz w:val="28"/>
          <w:szCs w:val="28"/>
          <w:lang w:val="el-GR"/>
          <w14:ligatures w14:val="none"/>
        </w:rPr>
        <w:t>Με την προώθηση</w:t>
      </w:r>
      <w:r w:rsidR="002A3E62">
        <w:rPr>
          <w:rFonts w:ascii="Bookman Old Style" w:eastAsia="Times New Roman" w:hAnsi="Bookman Old Style"/>
          <w:color w:val="000000"/>
          <w:kern w:val="0"/>
          <w:sz w:val="28"/>
          <w:szCs w:val="28"/>
          <w:lang w:val="el-GR"/>
          <w14:ligatures w14:val="none"/>
        </w:rPr>
        <w:t xml:space="preserve"> </w:t>
      </w:r>
      <w:r w:rsidR="008553ED">
        <w:rPr>
          <w:rFonts w:ascii="Bookman Old Style" w:eastAsia="Times New Roman" w:hAnsi="Bookman Old Style"/>
          <w:color w:val="000000"/>
          <w:kern w:val="0"/>
          <w:sz w:val="28"/>
          <w:szCs w:val="28"/>
          <w:lang w:val="el-GR"/>
          <w14:ligatures w14:val="none"/>
        </w:rPr>
        <w:t>της υπό συζήτηση αίτησης,  οι ως άνω αιτητές επιζητούν</w:t>
      </w:r>
      <w:r w:rsidRPr="0098687C">
        <w:rPr>
          <w:rStyle w:val="BodyTextChar"/>
          <w:rFonts w:ascii="Bookman Old Style" w:hAnsi="Bookman Old Style"/>
          <w:sz w:val="28"/>
          <w:szCs w:val="28"/>
          <w:lang w:val="el-GR"/>
        </w:rPr>
        <w:t>:</w:t>
      </w:r>
    </w:p>
    <w:p w14:paraId="7968BD7E" w14:textId="7EE86D5A" w:rsidR="0098687C" w:rsidRPr="00F75AB7" w:rsidRDefault="0027383B" w:rsidP="00F75AB7">
      <w:pPr>
        <w:pStyle w:val="BodyText"/>
        <w:spacing w:before="240" w:after="0" w:line="240" w:lineRule="auto"/>
        <w:ind w:left="567"/>
        <w:jc w:val="both"/>
        <w:rPr>
          <w:rStyle w:val="BodyTextChar"/>
          <w:rFonts w:ascii="Bookman Old Style" w:hAnsi="Bookman Old Style"/>
          <w:sz w:val="24"/>
          <w:szCs w:val="24"/>
          <w:lang w:val="el-GR"/>
        </w:rPr>
      </w:pPr>
      <w:r w:rsidRPr="00F75AB7">
        <w:rPr>
          <w:rStyle w:val="BodyTextChar"/>
          <w:rFonts w:ascii="Bookman Old Style" w:hAnsi="Bookman Old Style"/>
          <w:sz w:val="24"/>
          <w:szCs w:val="24"/>
          <w:lang w:val="el-GR"/>
        </w:rPr>
        <w:t>«</w:t>
      </w:r>
      <w:r w:rsidR="00B817C7" w:rsidRPr="00F75AB7">
        <w:rPr>
          <w:rStyle w:val="BodyTextChar"/>
          <w:rFonts w:ascii="Bookman Old Style" w:hAnsi="Bookman Old Style"/>
          <w:sz w:val="24"/>
          <w:szCs w:val="24"/>
          <w:lang w:val="el-GR"/>
        </w:rPr>
        <w:t>(</w:t>
      </w:r>
      <w:r w:rsidR="0098687C" w:rsidRPr="00F75AB7">
        <w:rPr>
          <w:rStyle w:val="BodyTextChar"/>
          <w:rFonts w:ascii="Bookman Old Style" w:hAnsi="Bookman Old Style"/>
          <w:sz w:val="24"/>
          <w:szCs w:val="24"/>
          <w:lang w:val="el-GR"/>
        </w:rPr>
        <w:t>Α)</w:t>
      </w:r>
      <w:r w:rsidR="0098687C" w:rsidRPr="00F75AB7">
        <w:rPr>
          <w:rStyle w:val="BodyTextChar"/>
          <w:rFonts w:ascii="Bookman Old Style" w:hAnsi="Bookman Old Style"/>
          <w:b/>
          <w:bCs/>
          <w:sz w:val="24"/>
          <w:szCs w:val="24"/>
          <w:lang w:val="el-GR"/>
        </w:rPr>
        <w:t xml:space="preserve"> </w:t>
      </w:r>
      <w:r w:rsidR="0098687C" w:rsidRPr="00F75AB7">
        <w:rPr>
          <w:rStyle w:val="BodyTextChar"/>
          <w:rFonts w:ascii="Bookman Old Style" w:hAnsi="Bookman Old Style"/>
          <w:sz w:val="24"/>
          <w:szCs w:val="24"/>
          <w:lang w:val="el-GR"/>
        </w:rPr>
        <w:t xml:space="preserve">Άδεια του Σεβαστού Δικαστηρίου για μεταφορά της υπόθεσης ενώπιον του Ανώτατου Δικαστηρίου για καταχώρηση Αίτησης με Κλήση για την </w:t>
      </w:r>
      <w:r w:rsidR="0098687C" w:rsidRPr="00F75AB7">
        <w:rPr>
          <w:rStyle w:val="BodyTextChar"/>
          <w:rFonts w:ascii="Bookman Old Style" w:hAnsi="Bookman Old Style"/>
          <w:color w:val="22273E"/>
          <w:sz w:val="24"/>
          <w:szCs w:val="24"/>
          <w:lang w:val="el-GR"/>
        </w:rPr>
        <w:t xml:space="preserve">Έκδοση </w:t>
      </w:r>
      <w:r w:rsidR="0098687C" w:rsidRPr="00F75AB7">
        <w:rPr>
          <w:rStyle w:val="BodyTextChar"/>
          <w:rFonts w:ascii="Bookman Old Style" w:hAnsi="Bookman Old Style"/>
          <w:sz w:val="24"/>
          <w:szCs w:val="24"/>
          <w:lang w:val="el-GR"/>
        </w:rPr>
        <w:t xml:space="preserve">Προνομιακού Εντάλματος </w:t>
      </w:r>
      <w:r w:rsidR="0098687C" w:rsidRPr="00F75AB7">
        <w:rPr>
          <w:rStyle w:val="BodyTextChar"/>
          <w:rFonts w:ascii="Bookman Old Style" w:hAnsi="Bookman Old Style"/>
          <w:sz w:val="24"/>
          <w:szCs w:val="24"/>
          <w:lang w:val="el-GR" w:bidi="en-US"/>
        </w:rPr>
        <w:t xml:space="preserve">Certiorari </w:t>
      </w:r>
      <w:r w:rsidR="0098687C" w:rsidRPr="00F75AB7">
        <w:rPr>
          <w:rStyle w:val="BodyTextChar"/>
          <w:rFonts w:ascii="Bookman Old Style" w:hAnsi="Bookman Old Style"/>
          <w:sz w:val="24"/>
          <w:szCs w:val="24"/>
          <w:lang w:val="el-GR"/>
        </w:rPr>
        <w:t xml:space="preserve">για ακύρωση της απόφασης ημερομηνίας 29/06/2023 (Τεκμήριο 4 στην Ένορκη Δήλωση του κ. </w:t>
      </w:r>
      <w:proofErr w:type="spellStart"/>
      <w:r w:rsidR="0098687C" w:rsidRPr="00F75AB7">
        <w:rPr>
          <w:rStyle w:val="BodyTextChar"/>
          <w:rFonts w:ascii="Bookman Old Style" w:hAnsi="Bookman Old Style"/>
          <w:sz w:val="24"/>
          <w:szCs w:val="24"/>
          <w:lang w:val="el-GR" w:bidi="en-US"/>
        </w:rPr>
        <w:t>Ayoub</w:t>
      </w:r>
      <w:proofErr w:type="spellEnd"/>
      <w:r w:rsidR="0098687C" w:rsidRPr="00F75AB7">
        <w:rPr>
          <w:rStyle w:val="BodyTextChar"/>
          <w:rFonts w:ascii="Bookman Old Style" w:hAnsi="Bookman Old Style"/>
          <w:sz w:val="24"/>
          <w:szCs w:val="24"/>
          <w:lang w:val="el-GR" w:bidi="en-US"/>
        </w:rPr>
        <w:t xml:space="preserve"> </w:t>
      </w:r>
      <w:proofErr w:type="spellStart"/>
      <w:r w:rsidR="0098687C" w:rsidRPr="00F75AB7">
        <w:rPr>
          <w:rStyle w:val="BodyTextChar"/>
          <w:rFonts w:ascii="Bookman Old Style" w:hAnsi="Bookman Old Style"/>
          <w:sz w:val="24"/>
          <w:szCs w:val="24"/>
          <w:lang w:val="el-GR" w:bidi="en-US"/>
        </w:rPr>
        <w:t>Farid</w:t>
      </w:r>
      <w:proofErr w:type="spellEnd"/>
      <w:r w:rsidR="0098687C" w:rsidRPr="00F75AB7">
        <w:rPr>
          <w:rStyle w:val="BodyTextChar"/>
          <w:rFonts w:ascii="Bookman Old Style" w:hAnsi="Bookman Old Style"/>
          <w:sz w:val="24"/>
          <w:szCs w:val="24"/>
          <w:lang w:val="el-GR" w:bidi="en-US"/>
        </w:rPr>
        <w:t xml:space="preserve"> </w:t>
      </w:r>
      <w:proofErr w:type="spellStart"/>
      <w:r w:rsidR="0098687C" w:rsidRPr="00F75AB7">
        <w:rPr>
          <w:rStyle w:val="BodyTextChar"/>
          <w:rFonts w:ascii="Bookman Old Style" w:hAnsi="Bookman Old Style"/>
          <w:sz w:val="24"/>
          <w:szCs w:val="24"/>
          <w:lang w:val="el-GR" w:bidi="en-US"/>
        </w:rPr>
        <w:t>Michel</w:t>
      </w:r>
      <w:proofErr w:type="spellEnd"/>
      <w:r w:rsidR="0098687C" w:rsidRPr="00F75AB7">
        <w:rPr>
          <w:rStyle w:val="BodyTextChar"/>
          <w:rFonts w:ascii="Bookman Old Style" w:hAnsi="Bookman Old Style"/>
          <w:sz w:val="24"/>
          <w:szCs w:val="24"/>
          <w:lang w:val="el-GR" w:bidi="en-US"/>
        </w:rPr>
        <w:t xml:space="preserve"> </w:t>
      </w:r>
      <w:r w:rsidR="0098687C" w:rsidRPr="00F75AB7">
        <w:rPr>
          <w:rStyle w:val="BodyTextChar"/>
          <w:rFonts w:ascii="Bookman Old Style" w:hAnsi="Bookman Old Style"/>
          <w:color w:val="22273E"/>
          <w:sz w:val="24"/>
          <w:szCs w:val="24"/>
          <w:lang w:val="el-GR" w:bidi="en-US"/>
        </w:rPr>
        <w:t xml:space="preserve">Saab) </w:t>
      </w:r>
      <w:r w:rsidR="0098687C" w:rsidRPr="00F75AB7">
        <w:rPr>
          <w:rStyle w:val="BodyTextChar"/>
          <w:rFonts w:ascii="Bookman Old Style" w:hAnsi="Bookman Old Style"/>
          <w:sz w:val="24"/>
          <w:szCs w:val="24"/>
          <w:lang w:val="el-GR"/>
        </w:rPr>
        <w:t xml:space="preserve">και του συντεταγμένου διατάγματος ημερομηνίας 29/06/2023 (Τεκμήριο </w:t>
      </w:r>
      <w:r w:rsidR="0098687C" w:rsidRPr="00F75AB7">
        <w:rPr>
          <w:rStyle w:val="BodyTextChar"/>
          <w:rFonts w:ascii="Bookman Old Style" w:hAnsi="Bookman Old Style"/>
          <w:color w:val="22273E"/>
          <w:sz w:val="24"/>
          <w:szCs w:val="24"/>
          <w:lang w:val="el-GR"/>
        </w:rPr>
        <w:t xml:space="preserve">5 </w:t>
      </w:r>
      <w:r w:rsidR="0098687C" w:rsidRPr="00F75AB7">
        <w:rPr>
          <w:rStyle w:val="BodyTextChar"/>
          <w:rFonts w:ascii="Bookman Old Style" w:hAnsi="Bookman Old Style"/>
          <w:sz w:val="24"/>
          <w:szCs w:val="24"/>
          <w:lang w:val="el-GR"/>
        </w:rPr>
        <w:t xml:space="preserve">στην Ένορκη Δήλωση του κ. </w:t>
      </w:r>
      <w:proofErr w:type="spellStart"/>
      <w:r w:rsidR="0098687C" w:rsidRPr="00F75AB7">
        <w:rPr>
          <w:rStyle w:val="BodyTextChar"/>
          <w:rFonts w:ascii="Bookman Old Style" w:hAnsi="Bookman Old Style"/>
          <w:sz w:val="24"/>
          <w:szCs w:val="24"/>
          <w:lang w:val="el-GR" w:bidi="en-US"/>
        </w:rPr>
        <w:t>Ayoub</w:t>
      </w:r>
      <w:proofErr w:type="spellEnd"/>
      <w:r w:rsidR="0098687C" w:rsidRPr="00F75AB7">
        <w:rPr>
          <w:rStyle w:val="BodyTextChar"/>
          <w:rFonts w:ascii="Bookman Old Style" w:hAnsi="Bookman Old Style"/>
          <w:sz w:val="24"/>
          <w:szCs w:val="24"/>
          <w:lang w:val="el-GR" w:bidi="en-US"/>
        </w:rPr>
        <w:t xml:space="preserve"> </w:t>
      </w:r>
      <w:proofErr w:type="spellStart"/>
      <w:r w:rsidR="0098687C" w:rsidRPr="00F75AB7">
        <w:rPr>
          <w:rStyle w:val="BodyTextChar"/>
          <w:rFonts w:ascii="Bookman Old Style" w:hAnsi="Bookman Old Style"/>
          <w:sz w:val="24"/>
          <w:szCs w:val="24"/>
          <w:lang w:val="el-GR" w:bidi="en-US"/>
        </w:rPr>
        <w:t>Farid</w:t>
      </w:r>
      <w:proofErr w:type="spellEnd"/>
      <w:r w:rsidR="0098687C" w:rsidRPr="00F75AB7">
        <w:rPr>
          <w:rStyle w:val="BodyTextChar"/>
          <w:rFonts w:ascii="Bookman Old Style" w:hAnsi="Bookman Old Style"/>
          <w:sz w:val="24"/>
          <w:szCs w:val="24"/>
          <w:lang w:val="el-GR" w:bidi="en-US"/>
        </w:rPr>
        <w:t xml:space="preserve"> </w:t>
      </w:r>
      <w:proofErr w:type="spellStart"/>
      <w:r w:rsidR="0098687C" w:rsidRPr="00F75AB7">
        <w:rPr>
          <w:rStyle w:val="BodyTextChar"/>
          <w:rFonts w:ascii="Bookman Old Style" w:hAnsi="Bookman Old Style"/>
          <w:sz w:val="24"/>
          <w:szCs w:val="24"/>
          <w:lang w:val="el-GR" w:bidi="en-US"/>
        </w:rPr>
        <w:t>Michel</w:t>
      </w:r>
      <w:proofErr w:type="spellEnd"/>
      <w:r w:rsidR="0098687C" w:rsidRPr="00F75AB7">
        <w:rPr>
          <w:rStyle w:val="BodyTextChar"/>
          <w:rFonts w:ascii="Bookman Old Style" w:hAnsi="Bookman Old Style"/>
          <w:sz w:val="24"/>
          <w:szCs w:val="24"/>
          <w:lang w:val="el-GR" w:bidi="en-US"/>
        </w:rPr>
        <w:t xml:space="preserve"> Saab), </w:t>
      </w:r>
      <w:r w:rsidR="0098687C" w:rsidRPr="00F75AB7">
        <w:rPr>
          <w:rStyle w:val="BodyTextChar"/>
          <w:rFonts w:ascii="Bookman Old Style" w:hAnsi="Bookman Old Style"/>
          <w:sz w:val="24"/>
          <w:szCs w:val="24"/>
          <w:lang w:val="el-GR"/>
        </w:rPr>
        <w:t xml:space="preserve">τα οποία εκδόθηκαν από το Επαρχιακό Δικαστήριο Λευκωσίας στα πλαίσια της Αίτησης </w:t>
      </w:r>
      <w:r w:rsidR="0098687C" w:rsidRPr="00F75AB7">
        <w:rPr>
          <w:rStyle w:val="BodyTextChar"/>
          <w:rFonts w:ascii="Bookman Old Style" w:hAnsi="Bookman Old Style"/>
          <w:color w:val="22273E"/>
          <w:sz w:val="24"/>
          <w:szCs w:val="24"/>
          <w:lang w:val="el-GR"/>
        </w:rPr>
        <w:t xml:space="preserve">υπ' </w:t>
      </w:r>
      <w:r w:rsidR="0098687C" w:rsidRPr="00F75AB7">
        <w:rPr>
          <w:rStyle w:val="BodyTextChar"/>
          <w:rFonts w:ascii="Bookman Old Style" w:hAnsi="Bookman Old Style"/>
          <w:sz w:val="24"/>
          <w:szCs w:val="24"/>
          <w:lang w:val="el-GR"/>
        </w:rPr>
        <w:t>αριθμόν 123/19 και όπως δοθούν όλες οι απαραίτητες οδηγίες για την εξέταση της Αίτησης.</w:t>
      </w:r>
    </w:p>
    <w:p w14:paraId="25EAC89D" w14:textId="77777777" w:rsidR="0027383B" w:rsidRPr="00F75AB7" w:rsidRDefault="0027383B" w:rsidP="00F75AB7">
      <w:pPr>
        <w:pStyle w:val="BodyText"/>
        <w:spacing w:after="0" w:line="276" w:lineRule="auto"/>
        <w:ind w:left="567"/>
        <w:jc w:val="both"/>
        <w:rPr>
          <w:rFonts w:ascii="Bookman Old Style" w:hAnsi="Bookman Old Style"/>
          <w:sz w:val="24"/>
          <w:szCs w:val="24"/>
          <w:lang w:val="el-GR"/>
        </w:rPr>
      </w:pPr>
    </w:p>
    <w:p w14:paraId="423A9278" w14:textId="77777777" w:rsidR="0098687C" w:rsidRPr="00F75AB7" w:rsidRDefault="0098687C" w:rsidP="00F75AB7">
      <w:pPr>
        <w:pStyle w:val="BodyText"/>
        <w:spacing w:after="0" w:line="240" w:lineRule="auto"/>
        <w:ind w:left="567"/>
        <w:jc w:val="both"/>
        <w:rPr>
          <w:rStyle w:val="BodyTextChar"/>
          <w:rFonts w:ascii="Bookman Old Style" w:hAnsi="Bookman Old Style"/>
          <w:sz w:val="24"/>
          <w:szCs w:val="24"/>
          <w:lang w:val="el-GR"/>
        </w:rPr>
      </w:pPr>
      <w:r w:rsidRPr="00F75AB7">
        <w:rPr>
          <w:rStyle w:val="BodyTextChar"/>
          <w:rFonts w:ascii="Bookman Old Style" w:hAnsi="Bookman Old Style"/>
          <w:sz w:val="24"/>
          <w:szCs w:val="24"/>
          <w:lang w:val="el-GR" w:bidi="en-US"/>
        </w:rPr>
        <w:t xml:space="preserve">B) </w:t>
      </w:r>
      <w:r w:rsidRPr="00F75AB7">
        <w:rPr>
          <w:rStyle w:val="BodyTextChar"/>
          <w:rFonts w:ascii="Bookman Old Style" w:hAnsi="Bookman Old Style"/>
          <w:sz w:val="24"/>
          <w:szCs w:val="24"/>
          <w:lang w:val="el-GR"/>
        </w:rPr>
        <w:t xml:space="preserve">Οποιαδήποτε άλλη συναφή προς το Προνομιακό Ένταλμα </w:t>
      </w:r>
      <w:r w:rsidRPr="00F75AB7">
        <w:rPr>
          <w:rStyle w:val="BodyTextChar"/>
          <w:rFonts w:ascii="Bookman Old Style" w:hAnsi="Bookman Old Style"/>
          <w:sz w:val="24"/>
          <w:szCs w:val="24"/>
          <w:lang w:val="el-GR" w:bidi="en-US"/>
        </w:rPr>
        <w:t xml:space="preserve">Certiorari </w:t>
      </w:r>
      <w:r w:rsidRPr="00F75AB7">
        <w:rPr>
          <w:rStyle w:val="BodyTextChar"/>
          <w:rFonts w:ascii="Bookman Old Style" w:hAnsi="Bookman Old Style"/>
          <w:sz w:val="24"/>
          <w:szCs w:val="24"/>
          <w:lang w:val="el-GR"/>
        </w:rPr>
        <w:t>Θεραπεία την οποία το Σεβαστό Δικαστήριο ήθελε κρίνει ορθή και δίκαιη υπό τις περιστάσεις.</w:t>
      </w:r>
    </w:p>
    <w:p w14:paraId="2D994E18" w14:textId="77777777" w:rsidR="0027383B" w:rsidRPr="00F75AB7" w:rsidRDefault="0027383B" w:rsidP="00F75AB7">
      <w:pPr>
        <w:pStyle w:val="BodyText"/>
        <w:spacing w:after="0" w:line="276" w:lineRule="auto"/>
        <w:ind w:left="567"/>
        <w:jc w:val="both"/>
        <w:rPr>
          <w:rStyle w:val="BodyTextChar"/>
          <w:rFonts w:ascii="Bookman Old Style" w:hAnsi="Bookman Old Style"/>
          <w:sz w:val="24"/>
          <w:szCs w:val="24"/>
          <w:lang w:val="el-GR"/>
        </w:rPr>
      </w:pPr>
    </w:p>
    <w:p w14:paraId="5C11DDA2" w14:textId="68F8B0A6" w:rsidR="0098687C" w:rsidRPr="00F75AB7" w:rsidRDefault="00B817C7" w:rsidP="00F75AB7">
      <w:pPr>
        <w:pStyle w:val="BodyText"/>
        <w:spacing w:after="0" w:line="276" w:lineRule="auto"/>
        <w:ind w:left="567"/>
        <w:jc w:val="both"/>
        <w:rPr>
          <w:rStyle w:val="BodyTextChar"/>
          <w:rFonts w:ascii="Bookman Old Style" w:hAnsi="Bookman Old Style"/>
          <w:sz w:val="24"/>
          <w:szCs w:val="24"/>
          <w:lang w:val="el-GR"/>
        </w:rPr>
      </w:pPr>
      <w:r w:rsidRPr="00F75AB7">
        <w:rPr>
          <w:rStyle w:val="BodyTextChar"/>
          <w:rFonts w:ascii="Bookman Old Style" w:hAnsi="Bookman Old Style"/>
          <w:sz w:val="24"/>
          <w:szCs w:val="24"/>
          <w:lang w:val="el-GR"/>
        </w:rPr>
        <w:t>(</w:t>
      </w:r>
      <w:r w:rsidR="0098687C" w:rsidRPr="00F75AB7">
        <w:rPr>
          <w:rStyle w:val="BodyTextChar"/>
          <w:rFonts w:ascii="Bookman Old Style" w:hAnsi="Bookman Old Style"/>
          <w:sz w:val="24"/>
          <w:szCs w:val="24"/>
          <w:lang w:val="el-GR"/>
        </w:rPr>
        <w:t>Γ)</w:t>
      </w:r>
      <w:r w:rsidRPr="00F75AB7">
        <w:rPr>
          <w:rStyle w:val="BodyTextChar"/>
          <w:rFonts w:ascii="Bookman Old Style" w:hAnsi="Bookman Old Style"/>
          <w:sz w:val="24"/>
          <w:szCs w:val="24"/>
          <w:lang w:val="el-GR"/>
        </w:rPr>
        <w:t xml:space="preserve">   </w:t>
      </w:r>
      <w:r w:rsidR="0098687C" w:rsidRPr="00F75AB7">
        <w:rPr>
          <w:rStyle w:val="BodyTextChar"/>
          <w:rFonts w:ascii="Bookman Old Style" w:hAnsi="Bookman Old Style"/>
          <w:sz w:val="24"/>
          <w:szCs w:val="24"/>
          <w:lang w:val="el-GR"/>
        </w:rPr>
        <w:t>Τα έξοδα της παρούσας αίτησης.</w:t>
      </w:r>
      <w:r w:rsidR="0027383B" w:rsidRPr="00F75AB7">
        <w:rPr>
          <w:rStyle w:val="BodyTextChar"/>
          <w:rFonts w:ascii="Bookman Old Style" w:hAnsi="Bookman Old Style"/>
          <w:sz w:val="24"/>
          <w:szCs w:val="24"/>
          <w:lang w:val="el-GR"/>
        </w:rPr>
        <w:t>»</w:t>
      </w:r>
    </w:p>
    <w:p w14:paraId="34707A1A" w14:textId="77777777" w:rsidR="0098687C" w:rsidRDefault="0098687C" w:rsidP="0027383B">
      <w:pPr>
        <w:pStyle w:val="BodyText"/>
        <w:tabs>
          <w:tab w:val="left" w:pos="567"/>
        </w:tabs>
        <w:spacing w:after="0" w:line="480" w:lineRule="auto"/>
        <w:jc w:val="both"/>
        <w:rPr>
          <w:rStyle w:val="BodyTextChar"/>
          <w:rFonts w:ascii="Bookman Old Style" w:hAnsi="Bookman Old Style"/>
          <w:sz w:val="28"/>
          <w:szCs w:val="28"/>
          <w:lang w:val="el-GR"/>
        </w:rPr>
      </w:pPr>
    </w:p>
    <w:p w14:paraId="7623925E" w14:textId="005D4A36" w:rsidR="00B817C7" w:rsidRPr="00636670" w:rsidRDefault="00F75AB7" w:rsidP="0027383B">
      <w:pPr>
        <w:pStyle w:val="BodyText"/>
        <w:tabs>
          <w:tab w:val="left" w:pos="567"/>
        </w:tabs>
        <w:spacing w:after="0" w:line="48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rPr>
        <w:tab/>
      </w:r>
      <w:r w:rsidR="00B817C7">
        <w:rPr>
          <w:rStyle w:val="BodyTextChar"/>
          <w:rFonts w:ascii="Bookman Old Style" w:hAnsi="Bookman Old Style"/>
          <w:sz w:val="28"/>
          <w:szCs w:val="28"/>
          <w:lang w:val="el-GR"/>
        </w:rPr>
        <w:t>Η υπό κρίση αίτηση</w:t>
      </w:r>
      <w:r w:rsidR="000116F1" w:rsidRPr="000116F1">
        <w:rPr>
          <w:rStyle w:val="BodyTextChar"/>
          <w:rFonts w:ascii="Bookman Old Style" w:hAnsi="Bookman Old Style"/>
          <w:sz w:val="28"/>
          <w:szCs w:val="28"/>
          <w:lang w:val="el-GR"/>
        </w:rPr>
        <w:t xml:space="preserve">, </w:t>
      </w:r>
      <w:r w:rsidR="000116F1">
        <w:rPr>
          <w:rStyle w:val="BodyTextChar"/>
          <w:rFonts w:ascii="Bookman Old Style" w:hAnsi="Bookman Old Style"/>
          <w:sz w:val="28"/>
          <w:szCs w:val="28"/>
          <w:lang w:val="el-GR"/>
        </w:rPr>
        <w:t xml:space="preserve">συνοδεύεται από σχετική </w:t>
      </w:r>
      <w:r w:rsidR="00B817C7">
        <w:rPr>
          <w:rStyle w:val="BodyTextChar"/>
          <w:rFonts w:ascii="Bookman Old Style" w:hAnsi="Bookman Old Style"/>
          <w:sz w:val="28"/>
          <w:szCs w:val="28"/>
          <w:lang w:val="el-GR"/>
        </w:rPr>
        <w:t xml:space="preserve">Έκθεση και Ένορκη Δήλωση του </w:t>
      </w:r>
      <w:proofErr w:type="spellStart"/>
      <w:r w:rsidR="00516385" w:rsidRPr="0098687C">
        <w:rPr>
          <w:rStyle w:val="BodyTextChar"/>
          <w:rFonts w:ascii="Bookman Old Style" w:hAnsi="Bookman Old Style"/>
          <w:sz w:val="28"/>
          <w:szCs w:val="28"/>
          <w:lang w:val="el-GR" w:bidi="en-US"/>
        </w:rPr>
        <w:t>Ayoub</w:t>
      </w:r>
      <w:proofErr w:type="spellEnd"/>
      <w:r w:rsidR="00516385" w:rsidRPr="0098687C">
        <w:rPr>
          <w:rStyle w:val="BodyTextChar"/>
          <w:rFonts w:ascii="Bookman Old Style" w:hAnsi="Bookman Old Style"/>
          <w:sz w:val="28"/>
          <w:szCs w:val="28"/>
          <w:lang w:val="el-GR" w:bidi="en-US"/>
        </w:rPr>
        <w:t xml:space="preserve"> </w:t>
      </w:r>
      <w:proofErr w:type="spellStart"/>
      <w:r w:rsidR="00516385" w:rsidRPr="0098687C">
        <w:rPr>
          <w:rStyle w:val="BodyTextChar"/>
          <w:rFonts w:ascii="Bookman Old Style" w:hAnsi="Bookman Old Style"/>
          <w:sz w:val="28"/>
          <w:szCs w:val="28"/>
          <w:lang w:val="el-GR" w:bidi="en-US"/>
        </w:rPr>
        <w:t>Farid</w:t>
      </w:r>
      <w:proofErr w:type="spellEnd"/>
      <w:r w:rsidR="00516385" w:rsidRPr="0098687C">
        <w:rPr>
          <w:rStyle w:val="BodyTextChar"/>
          <w:rFonts w:ascii="Bookman Old Style" w:hAnsi="Bookman Old Style"/>
          <w:sz w:val="28"/>
          <w:szCs w:val="28"/>
          <w:lang w:val="el-GR" w:bidi="en-US"/>
        </w:rPr>
        <w:t xml:space="preserve"> </w:t>
      </w:r>
      <w:proofErr w:type="spellStart"/>
      <w:r w:rsidR="00516385" w:rsidRPr="0098687C">
        <w:rPr>
          <w:rStyle w:val="BodyTextChar"/>
          <w:rFonts w:ascii="Bookman Old Style" w:hAnsi="Bookman Old Style"/>
          <w:sz w:val="28"/>
          <w:szCs w:val="28"/>
          <w:lang w:val="el-GR" w:bidi="en-US"/>
        </w:rPr>
        <w:t>Michel</w:t>
      </w:r>
      <w:proofErr w:type="spellEnd"/>
      <w:r w:rsidR="00516385" w:rsidRPr="0098687C">
        <w:rPr>
          <w:rStyle w:val="BodyTextChar"/>
          <w:rFonts w:ascii="Bookman Old Style" w:hAnsi="Bookman Old Style"/>
          <w:sz w:val="28"/>
          <w:szCs w:val="28"/>
          <w:lang w:val="el-GR" w:bidi="en-US"/>
        </w:rPr>
        <w:t xml:space="preserve"> Saab</w:t>
      </w:r>
      <w:r w:rsidR="00516385">
        <w:rPr>
          <w:rStyle w:val="BodyTextChar"/>
          <w:rFonts w:ascii="Bookman Old Style" w:hAnsi="Bookman Old Style"/>
          <w:sz w:val="28"/>
          <w:szCs w:val="28"/>
          <w:lang w:val="el-GR" w:bidi="en-US"/>
        </w:rPr>
        <w:t xml:space="preserve">, ημερομηνίας </w:t>
      </w:r>
      <w:r w:rsidR="00636670" w:rsidRPr="00636670">
        <w:rPr>
          <w:rStyle w:val="BodyTextChar"/>
          <w:rFonts w:ascii="Bookman Old Style" w:hAnsi="Bookman Old Style"/>
          <w:sz w:val="28"/>
          <w:szCs w:val="28"/>
          <w:lang w:val="el-GR" w:bidi="en-US"/>
        </w:rPr>
        <w:t>20.07.2023.</w:t>
      </w:r>
    </w:p>
    <w:p w14:paraId="6818A0CE" w14:textId="77777777" w:rsidR="0053721D" w:rsidRDefault="0053721D" w:rsidP="00F75AB7">
      <w:pPr>
        <w:pStyle w:val="BodyText"/>
        <w:tabs>
          <w:tab w:val="left" w:pos="567"/>
        </w:tabs>
        <w:spacing w:after="0" w:line="240" w:lineRule="auto"/>
        <w:jc w:val="both"/>
        <w:rPr>
          <w:rStyle w:val="BodyTextChar"/>
          <w:rFonts w:ascii="Bookman Old Style" w:hAnsi="Bookman Old Style"/>
          <w:sz w:val="28"/>
          <w:szCs w:val="28"/>
          <w:lang w:val="el-GR" w:bidi="en-US"/>
        </w:rPr>
      </w:pPr>
    </w:p>
    <w:p w14:paraId="08F96C86" w14:textId="15F4AF58" w:rsidR="008F68ED" w:rsidRDefault="00F75AB7" w:rsidP="0027383B">
      <w:pPr>
        <w:pStyle w:val="BodyText"/>
        <w:tabs>
          <w:tab w:val="left" w:pos="567"/>
        </w:tabs>
        <w:spacing w:after="0" w:line="480" w:lineRule="auto"/>
        <w:jc w:val="both"/>
        <w:rPr>
          <w:rStyle w:val="BodyTextChar"/>
          <w:rFonts w:ascii="Bookman Old Style" w:hAnsi="Bookman Old Style"/>
          <w:sz w:val="28"/>
          <w:szCs w:val="28"/>
          <w:lang w:val="el-GR"/>
        </w:rPr>
      </w:pPr>
      <w:r>
        <w:rPr>
          <w:rStyle w:val="BodyTextChar"/>
          <w:rFonts w:ascii="Bookman Old Style" w:hAnsi="Bookman Old Style"/>
          <w:sz w:val="28"/>
          <w:szCs w:val="28"/>
          <w:lang w:val="el-GR"/>
        </w:rPr>
        <w:tab/>
      </w:r>
      <w:r w:rsidR="003164C1">
        <w:rPr>
          <w:rStyle w:val="BodyTextChar"/>
          <w:rFonts w:ascii="Bookman Old Style" w:hAnsi="Bookman Old Style"/>
          <w:sz w:val="28"/>
          <w:szCs w:val="28"/>
          <w:lang w:val="el-GR"/>
        </w:rPr>
        <w:t>Η παράθεση</w:t>
      </w:r>
      <w:r w:rsidR="0091069C">
        <w:rPr>
          <w:rStyle w:val="BodyTextChar"/>
          <w:rFonts w:ascii="Bookman Old Style" w:hAnsi="Bookman Old Style"/>
          <w:sz w:val="28"/>
          <w:szCs w:val="28"/>
          <w:lang w:val="el-GR"/>
        </w:rPr>
        <w:t xml:space="preserve"> </w:t>
      </w:r>
      <w:r w:rsidR="003164C1">
        <w:rPr>
          <w:rStyle w:val="BodyTextChar"/>
          <w:rFonts w:ascii="Bookman Old Style" w:hAnsi="Bookman Old Style"/>
          <w:sz w:val="28"/>
          <w:szCs w:val="28"/>
          <w:lang w:val="el-GR"/>
        </w:rPr>
        <w:t>ουσιαστικών γεγονότων που περιβάλλουν την υπό συζήτηση υπόθεση</w:t>
      </w:r>
      <w:r w:rsidR="0091069C">
        <w:rPr>
          <w:rStyle w:val="BodyTextChar"/>
          <w:rFonts w:ascii="Bookman Old Style" w:hAnsi="Bookman Old Style"/>
          <w:sz w:val="28"/>
          <w:szCs w:val="28"/>
          <w:lang w:val="el-GR"/>
        </w:rPr>
        <w:t xml:space="preserve"> και η εξέλιξης τους</w:t>
      </w:r>
      <w:r w:rsidR="003164C1">
        <w:rPr>
          <w:rStyle w:val="BodyTextChar"/>
          <w:rFonts w:ascii="Bookman Old Style" w:hAnsi="Bookman Old Style"/>
          <w:sz w:val="28"/>
          <w:szCs w:val="28"/>
          <w:lang w:val="el-GR"/>
        </w:rPr>
        <w:t xml:space="preserve">, ως αυτά καταγράφονται στην </w:t>
      </w:r>
      <w:r w:rsidR="00636670">
        <w:rPr>
          <w:rStyle w:val="BodyTextChar"/>
          <w:rFonts w:ascii="Bookman Old Style" w:hAnsi="Bookman Old Style"/>
          <w:sz w:val="28"/>
          <w:szCs w:val="28"/>
          <w:lang w:val="el-GR"/>
        </w:rPr>
        <w:t xml:space="preserve">ως άνω </w:t>
      </w:r>
      <w:r w:rsidR="003164C1">
        <w:rPr>
          <w:rStyle w:val="BodyTextChar"/>
          <w:rFonts w:ascii="Bookman Old Style" w:hAnsi="Bookman Old Style"/>
          <w:sz w:val="28"/>
          <w:szCs w:val="28"/>
          <w:lang w:val="el-GR"/>
        </w:rPr>
        <w:t xml:space="preserve">ένορκη δήλωση του </w:t>
      </w:r>
      <w:proofErr w:type="spellStart"/>
      <w:r w:rsidR="003164C1" w:rsidRPr="0098687C">
        <w:rPr>
          <w:rStyle w:val="BodyTextChar"/>
          <w:rFonts w:ascii="Bookman Old Style" w:hAnsi="Bookman Old Style"/>
          <w:sz w:val="28"/>
          <w:szCs w:val="28"/>
          <w:lang w:val="el-GR" w:bidi="en-US"/>
        </w:rPr>
        <w:t>Ayoub</w:t>
      </w:r>
      <w:proofErr w:type="spellEnd"/>
      <w:r w:rsidR="003164C1" w:rsidRPr="0098687C">
        <w:rPr>
          <w:rStyle w:val="BodyTextChar"/>
          <w:rFonts w:ascii="Bookman Old Style" w:hAnsi="Bookman Old Style"/>
          <w:sz w:val="28"/>
          <w:szCs w:val="28"/>
          <w:lang w:val="el-GR" w:bidi="en-US"/>
        </w:rPr>
        <w:t xml:space="preserve"> </w:t>
      </w:r>
      <w:proofErr w:type="spellStart"/>
      <w:r w:rsidR="003164C1" w:rsidRPr="0098687C">
        <w:rPr>
          <w:rStyle w:val="BodyTextChar"/>
          <w:rFonts w:ascii="Bookman Old Style" w:hAnsi="Bookman Old Style"/>
          <w:sz w:val="28"/>
          <w:szCs w:val="28"/>
          <w:lang w:val="el-GR" w:bidi="en-US"/>
        </w:rPr>
        <w:t>Farid</w:t>
      </w:r>
      <w:proofErr w:type="spellEnd"/>
      <w:r w:rsidR="003164C1" w:rsidRPr="0098687C">
        <w:rPr>
          <w:rStyle w:val="BodyTextChar"/>
          <w:rFonts w:ascii="Bookman Old Style" w:hAnsi="Bookman Old Style"/>
          <w:sz w:val="28"/>
          <w:szCs w:val="28"/>
          <w:lang w:val="el-GR" w:bidi="en-US"/>
        </w:rPr>
        <w:t xml:space="preserve"> </w:t>
      </w:r>
      <w:proofErr w:type="spellStart"/>
      <w:r w:rsidR="003164C1" w:rsidRPr="0098687C">
        <w:rPr>
          <w:rStyle w:val="BodyTextChar"/>
          <w:rFonts w:ascii="Bookman Old Style" w:hAnsi="Bookman Old Style"/>
          <w:sz w:val="28"/>
          <w:szCs w:val="28"/>
          <w:lang w:val="el-GR" w:bidi="en-US"/>
        </w:rPr>
        <w:t>Michel</w:t>
      </w:r>
      <w:proofErr w:type="spellEnd"/>
      <w:r w:rsidR="003164C1" w:rsidRPr="0098687C">
        <w:rPr>
          <w:rStyle w:val="BodyTextChar"/>
          <w:rFonts w:ascii="Bookman Old Style" w:hAnsi="Bookman Old Style"/>
          <w:sz w:val="28"/>
          <w:szCs w:val="28"/>
          <w:lang w:val="el-GR" w:bidi="en-US"/>
        </w:rPr>
        <w:t xml:space="preserve"> Saab</w:t>
      </w:r>
      <w:r w:rsidR="003164C1">
        <w:rPr>
          <w:rStyle w:val="BodyTextChar"/>
          <w:rFonts w:ascii="Bookman Old Style" w:hAnsi="Bookman Old Style"/>
          <w:sz w:val="28"/>
          <w:szCs w:val="28"/>
          <w:lang w:val="el-GR" w:bidi="en-US"/>
        </w:rPr>
        <w:t xml:space="preserve"> και προκύπτουν από τα στοιχεία που παρατίθενται σε αυτήν, </w:t>
      </w:r>
      <w:r w:rsidR="0053721D">
        <w:rPr>
          <w:rStyle w:val="BodyTextChar"/>
          <w:rFonts w:ascii="Bookman Old Style" w:hAnsi="Bookman Old Style"/>
          <w:sz w:val="28"/>
          <w:szCs w:val="28"/>
          <w:lang w:val="el-GR"/>
        </w:rPr>
        <w:t xml:space="preserve">κρίνεται </w:t>
      </w:r>
      <w:r w:rsidR="003164C1">
        <w:rPr>
          <w:rStyle w:val="BodyTextChar"/>
          <w:rFonts w:ascii="Bookman Old Style" w:hAnsi="Bookman Old Style"/>
          <w:sz w:val="28"/>
          <w:szCs w:val="28"/>
          <w:lang w:val="el-GR"/>
        </w:rPr>
        <w:t xml:space="preserve">ότι θα εξυπηρετούσε, </w:t>
      </w:r>
      <w:r w:rsidR="0091069C">
        <w:rPr>
          <w:rStyle w:val="BodyTextChar"/>
          <w:rFonts w:ascii="Bookman Old Style" w:hAnsi="Bookman Old Style"/>
          <w:sz w:val="28"/>
          <w:szCs w:val="28"/>
          <w:lang w:val="el-GR"/>
        </w:rPr>
        <w:t xml:space="preserve">καθιστώντας ευχερέστερη την αντίληψη </w:t>
      </w:r>
      <w:r w:rsidR="0053721D">
        <w:rPr>
          <w:rStyle w:val="BodyTextChar"/>
          <w:rFonts w:ascii="Bookman Old Style" w:hAnsi="Bookman Old Style"/>
          <w:sz w:val="28"/>
          <w:szCs w:val="28"/>
          <w:lang w:val="el-GR"/>
        </w:rPr>
        <w:t>των περιστατικών που</w:t>
      </w:r>
      <w:r w:rsidR="0091069C">
        <w:rPr>
          <w:rStyle w:val="BodyTextChar"/>
          <w:rFonts w:ascii="Bookman Old Style" w:hAnsi="Bookman Old Style"/>
          <w:sz w:val="28"/>
          <w:szCs w:val="28"/>
          <w:lang w:val="el-GR"/>
        </w:rPr>
        <w:t xml:space="preserve"> </w:t>
      </w:r>
      <w:r w:rsidR="0053721D">
        <w:rPr>
          <w:rStyle w:val="BodyTextChar"/>
          <w:rFonts w:ascii="Bookman Old Style" w:hAnsi="Bookman Old Style"/>
          <w:sz w:val="28"/>
          <w:szCs w:val="28"/>
          <w:lang w:val="el-GR"/>
        </w:rPr>
        <w:t>περιβάλλουν</w:t>
      </w:r>
      <w:r w:rsidR="00EB749C" w:rsidRPr="00EB749C">
        <w:rPr>
          <w:rStyle w:val="BodyTextChar"/>
          <w:rFonts w:ascii="Bookman Old Style" w:hAnsi="Bookman Old Style"/>
          <w:sz w:val="28"/>
          <w:szCs w:val="28"/>
          <w:lang w:val="el-GR"/>
        </w:rPr>
        <w:t xml:space="preserve"> </w:t>
      </w:r>
      <w:r w:rsidR="00EB749C">
        <w:rPr>
          <w:rStyle w:val="BodyTextChar"/>
          <w:rFonts w:ascii="Bookman Old Style" w:hAnsi="Bookman Old Style"/>
          <w:sz w:val="28"/>
          <w:szCs w:val="28"/>
          <w:lang w:val="el-GR"/>
        </w:rPr>
        <w:t>την περίπτωση</w:t>
      </w:r>
      <w:r w:rsidR="0011129B">
        <w:rPr>
          <w:rStyle w:val="BodyTextChar"/>
          <w:rFonts w:ascii="Bookman Old Style" w:hAnsi="Bookman Old Style"/>
          <w:sz w:val="28"/>
          <w:szCs w:val="28"/>
          <w:lang w:val="el-GR"/>
        </w:rPr>
        <w:t>,</w:t>
      </w:r>
      <w:r w:rsidR="0053721D">
        <w:rPr>
          <w:rStyle w:val="BodyTextChar"/>
          <w:rFonts w:ascii="Bookman Old Style" w:hAnsi="Bookman Old Style"/>
          <w:sz w:val="28"/>
          <w:szCs w:val="28"/>
          <w:lang w:val="el-GR"/>
        </w:rPr>
        <w:t xml:space="preserve"> </w:t>
      </w:r>
      <w:r w:rsidR="0091069C">
        <w:rPr>
          <w:rStyle w:val="BodyTextChar"/>
          <w:rFonts w:ascii="Bookman Old Style" w:hAnsi="Bookman Old Style"/>
          <w:sz w:val="28"/>
          <w:szCs w:val="28"/>
          <w:lang w:val="el-GR"/>
        </w:rPr>
        <w:t xml:space="preserve">αλλά και την κατανόηση των ειδικότερων ζητημάτων που προκρίνονται και απασχολούν στην παρούσα. </w:t>
      </w:r>
    </w:p>
    <w:p w14:paraId="172C307E" w14:textId="77777777" w:rsidR="008F68ED" w:rsidRPr="00F75AB7" w:rsidRDefault="008F68ED" w:rsidP="00F75AB7">
      <w:pPr>
        <w:pStyle w:val="BodyText"/>
        <w:tabs>
          <w:tab w:val="left" w:pos="567"/>
        </w:tabs>
        <w:spacing w:after="0" w:line="240" w:lineRule="auto"/>
        <w:jc w:val="both"/>
        <w:rPr>
          <w:rStyle w:val="BodyTextChar"/>
          <w:rFonts w:ascii="Bookman Old Style" w:hAnsi="Bookman Old Style"/>
          <w:sz w:val="28"/>
          <w:szCs w:val="28"/>
        </w:rPr>
      </w:pPr>
    </w:p>
    <w:p w14:paraId="7DDE2754" w14:textId="684B235B" w:rsidR="0053721D" w:rsidRDefault="00F75AB7" w:rsidP="0027383B">
      <w:pPr>
        <w:pStyle w:val="BodyText"/>
        <w:tabs>
          <w:tab w:val="left" w:pos="567"/>
        </w:tabs>
        <w:spacing w:after="0" w:line="48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sz w:val="28"/>
          <w:szCs w:val="28"/>
          <w:lang w:val="el-GR"/>
        </w:rPr>
        <w:tab/>
      </w:r>
      <w:r w:rsidR="00623C39">
        <w:rPr>
          <w:rStyle w:val="BodyTextChar"/>
          <w:rFonts w:ascii="Bookman Old Style" w:hAnsi="Bookman Old Style"/>
          <w:sz w:val="28"/>
          <w:szCs w:val="28"/>
          <w:lang w:val="el-GR"/>
        </w:rPr>
        <w:t xml:space="preserve">Σύμφωνα με την πλευρά των αιτητών, η </w:t>
      </w:r>
      <w:r w:rsidR="0053721D">
        <w:rPr>
          <w:rStyle w:val="BodyTextChar"/>
          <w:rFonts w:ascii="Bookman Old Style" w:hAnsi="Bookman Old Style"/>
          <w:sz w:val="28"/>
          <w:szCs w:val="28"/>
          <w:lang w:bidi="en-US"/>
        </w:rPr>
        <w:t>FBME</w:t>
      </w:r>
      <w:r w:rsidR="0053721D" w:rsidRPr="0053721D">
        <w:rPr>
          <w:rStyle w:val="BodyTextChar"/>
          <w:rFonts w:ascii="Bookman Old Style" w:hAnsi="Bookman Old Style"/>
          <w:sz w:val="28"/>
          <w:szCs w:val="28"/>
          <w:lang w:val="el-GR" w:bidi="en-US"/>
        </w:rPr>
        <w:t xml:space="preserve"> </w:t>
      </w:r>
      <w:r w:rsidR="0053721D">
        <w:rPr>
          <w:rStyle w:val="BodyTextChar"/>
          <w:rFonts w:ascii="Bookman Old Style" w:hAnsi="Bookman Old Style"/>
          <w:sz w:val="28"/>
          <w:szCs w:val="28"/>
          <w:lang w:bidi="en-US"/>
        </w:rPr>
        <w:t>BANK</w:t>
      </w:r>
      <w:r w:rsidR="0053721D" w:rsidRPr="0053721D">
        <w:rPr>
          <w:rStyle w:val="BodyTextChar"/>
          <w:rFonts w:ascii="Bookman Old Style" w:hAnsi="Bookman Old Style"/>
          <w:sz w:val="28"/>
          <w:szCs w:val="28"/>
          <w:lang w:val="el-GR" w:bidi="en-US"/>
        </w:rPr>
        <w:t xml:space="preserve"> </w:t>
      </w:r>
      <w:r w:rsidR="0053721D">
        <w:rPr>
          <w:rStyle w:val="BodyTextChar"/>
          <w:rFonts w:ascii="Bookman Old Style" w:hAnsi="Bookman Old Style"/>
          <w:sz w:val="28"/>
          <w:szCs w:val="28"/>
          <w:lang w:bidi="en-US"/>
        </w:rPr>
        <w:t>LIMITED</w:t>
      </w:r>
      <w:r w:rsidR="00623C39">
        <w:rPr>
          <w:rStyle w:val="BodyTextChar"/>
          <w:rFonts w:ascii="Bookman Old Style" w:hAnsi="Bookman Old Style"/>
          <w:sz w:val="28"/>
          <w:szCs w:val="28"/>
          <w:lang w:val="el-GR" w:bidi="en-US"/>
        </w:rPr>
        <w:t>, (</w:t>
      </w:r>
      <w:bookmarkStart w:id="4" w:name="_Hlk144141179"/>
      <w:r w:rsidR="00623C39">
        <w:rPr>
          <w:rStyle w:val="BodyTextChar"/>
          <w:rFonts w:ascii="Bookman Old Style" w:hAnsi="Bookman Old Style"/>
          <w:sz w:val="28"/>
          <w:szCs w:val="28"/>
          <w:lang w:val="en-GB" w:bidi="en-US"/>
        </w:rPr>
        <w:t>FBME</w:t>
      </w:r>
      <w:bookmarkEnd w:id="4"/>
      <w:r w:rsidR="00623C39">
        <w:rPr>
          <w:rStyle w:val="BodyTextChar"/>
          <w:rFonts w:ascii="Bookman Old Style" w:hAnsi="Bookman Old Style"/>
          <w:sz w:val="28"/>
          <w:szCs w:val="28"/>
          <w:lang w:val="el-GR" w:bidi="en-US"/>
        </w:rPr>
        <w:t>)</w:t>
      </w:r>
      <w:r w:rsidR="0053721D" w:rsidRPr="0053721D">
        <w:rPr>
          <w:rStyle w:val="BodyTextChar"/>
          <w:rFonts w:ascii="Bookman Old Style" w:hAnsi="Bookman Old Style"/>
          <w:sz w:val="28"/>
          <w:szCs w:val="28"/>
          <w:lang w:val="el-GR" w:bidi="en-US"/>
        </w:rPr>
        <w:t xml:space="preserve"> </w:t>
      </w:r>
      <w:proofErr w:type="spellStart"/>
      <w:r w:rsidR="0053721D">
        <w:rPr>
          <w:rStyle w:val="BodyTextChar"/>
          <w:rFonts w:ascii="Bookman Old Style" w:hAnsi="Bookman Old Style"/>
          <w:sz w:val="28"/>
          <w:szCs w:val="28"/>
          <w:lang w:val="el-GR" w:bidi="en-US"/>
        </w:rPr>
        <w:t>αδειοδοτημένη</w:t>
      </w:r>
      <w:proofErr w:type="spellEnd"/>
      <w:r w:rsidR="0053721D">
        <w:rPr>
          <w:rStyle w:val="BodyTextChar"/>
          <w:rFonts w:ascii="Bookman Old Style" w:hAnsi="Bookman Old Style"/>
          <w:sz w:val="28"/>
          <w:szCs w:val="28"/>
          <w:lang w:val="el-GR" w:bidi="en-US"/>
        </w:rPr>
        <w:t xml:space="preserve"> </w:t>
      </w:r>
      <w:r w:rsidR="00623C39">
        <w:rPr>
          <w:rStyle w:val="BodyTextChar"/>
          <w:rFonts w:ascii="Bookman Old Style" w:hAnsi="Bookman Old Style"/>
          <w:sz w:val="28"/>
          <w:szCs w:val="28"/>
          <w:lang w:val="el-GR" w:bidi="en-US"/>
        </w:rPr>
        <w:t xml:space="preserve">τράπεζα </w:t>
      </w:r>
      <w:r w:rsidR="0053721D">
        <w:rPr>
          <w:rStyle w:val="BodyTextChar"/>
          <w:rFonts w:ascii="Bookman Old Style" w:hAnsi="Bookman Old Style"/>
          <w:sz w:val="28"/>
          <w:szCs w:val="28"/>
          <w:lang w:val="el-GR" w:bidi="en-US"/>
        </w:rPr>
        <w:t xml:space="preserve">από την Κεντρική Τράπεζα της Τανζανίας, εκτελούσε τραπεζικές δραστηριότητες.  Κατείχε, επίσης, άδεια από την Κεντρική Τράπεζα της Κύπρου να λειτουργεί υποκατάστημα στην Κυπριακή Δημοκρατία, για διεξαγωγή τραπεζικών εργασιών. </w:t>
      </w:r>
      <w:r w:rsidR="00623C39">
        <w:rPr>
          <w:rStyle w:val="BodyTextChar"/>
          <w:rFonts w:ascii="Bookman Old Style" w:hAnsi="Bookman Old Style"/>
          <w:sz w:val="28"/>
          <w:szCs w:val="28"/>
          <w:lang w:val="el-GR" w:bidi="en-US"/>
        </w:rPr>
        <w:t>Προς τούτο, εγ</w:t>
      </w:r>
      <w:r w:rsidR="0053721D">
        <w:rPr>
          <w:rStyle w:val="BodyTextChar"/>
          <w:rFonts w:ascii="Bookman Old Style" w:hAnsi="Bookman Old Style"/>
          <w:sz w:val="28"/>
          <w:szCs w:val="28"/>
          <w:lang w:val="el-GR" w:bidi="en-US"/>
        </w:rPr>
        <w:t xml:space="preserve">γεγραμμένη ως αλλοδαπή εταιρεία στον Έφορο Εταιρειών της Κυπριακής Δημοκρατίας, διατηρούσε </w:t>
      </w:r>
      <w:r w:rsidR="00623C39">
        <w:rPr>
          <w:rStyle w:val="BodyTextChar"/>
          <w:rFonts w:ascii="Bookman Old Style" w:hAnsi="Bookman Old Style"/>
          <w:sz w:val="28"/>
          <w:szCs w:val="28"/>
          <w:lang w:val="el-GR" w:bidi="en-US"/>
        </w:rPr>
        <w:t xml:space="preserve">σχετικό </w:t>
      </w:r>
      <w:r w:rsidR="0053721D">
        <w:rPr>
          <w:rStyle w:val="BodyTextChar"/>
          <w:rFonts w:ascii="Bookman Old Style" w:hAnsi="Bookman Old Style"/>
          <w:sz w:val="28"/>
          <w:szCs w:val="28"/>
          <w:lang w:val="el-GR" w:bidi="en-US"/>
        </w:rPr>
        <w:t>υποκατάστημα στη Λευκωσία.  Στις 17.</w:t>
      </w:r>
      <w:r w:rsidR="00623C39">
        <w:rPr>
          <w:rStyle w:val="BodyTextChar"/>
          <w:rFonts w:ascii="Bookman Old Style" w:hAnsi="Bookman Old Style"/>
          <w:sz w:val="28"/>
          <w:szCs w:val="28"/>
          <w:lang w:val="el-GR" w:bidi="en-US"/>
        </w:rPr>
        <w:t>0</w:t>
      </w:r>
      <w:r w:rsidR="0053721D">
        <w:rPr>
          <w:rStyle w:val="BodyTextChar"/>
          <w:rFonts w:ascii="Bookman Old Style" w:hAnsi="Bookman Old Style"/>
          <w:sz w:val="28"/>
          <w:szCs w:val="28"/>
          <w:lang w:val="el-GR" w:bidi="en-US"/>
        </w:rPr>
        <w:t>7.2014, η Υπηρεσία Οικονομικού Εγκλήματος του Υπουργείου Οικονομικών των Η.Π.Α. (</w:t>
      </w:r>
      <w:r w:rsidR="0053721D">
        <w:rPr>
          <w:rStyle w:val="BodyTextChar"/>
          <w:rFonts w:ascii="Bookman Old Style" w:hAnsi="Bookman Old Style"/>
          <w:sz w:val="28"/>
          <w:szCs w:val="28"/>
          <w:lang w:bidi="en-US"/>
        </w:rPr>
        <w:t>FinCEN</w:t>
      </w:r>
      <w:r w:rsidR="0053721D" w:rsidRPr="0053721D">
        <w:rPr>
          <w:rStyle w:val="BodyTextChar"/>
          <w:rFonts w:ascii="Bookman Old Style" w:hAnsi="Bookman Old Style"/>
          <w:sz w:val="28"/>
          <w:szCs w:val="28"/>
          <w:lang w:val="el-GR" w:bidi="en-US"/>
        </w:rPr>
        <w:t>)</w:t>
      </w:r>
      <w:r w:rsidR="0053721D">
        <w:rPr>
          <w:rStyle w:val="BodyTextChar"/>
          <w:rFonts w:ascii="Bookman Old Style" w:hAnsi="Bookman Old Style"/>
          <w:sz w:val="28"/>
          <w:szCs w:val="28"/>
          <w:lang w:val="el-GR" w:bidi="en-US"/>
        </w:rPr>
        <w:t xml:space="preserve"> εξέδωσε ειδοποίηση με την οποία ονόμαζε την ως άνω τράπεζα (</w:t>
      </w:r>
      <w:r w:rsidR="0053721D">
        <w:rPr>
          <w:rStyle w:val="BodyTextChar"/>
          <w:rFonts w:ascii="Bookman Old Style" w:hAnsi="Bookman Old Style"/>
          <w:sz w:val="28"/>
          <w:szCs w:val="28"/>
          <w:lang w:bidi="en-US"/>
        </w:rPr>
        <w:t>FBME</w:t>
      </w:r>
      <w:r w:rsidR="0053721D" w:rsidRPr="0053721D">
        <w:rPr>
          <w:rStyle w:val="BodyTextChar"/>
          <w:rFonts w:ascii="Bookman Old Style" w:hAnsi="Bookman Old Style"/>
          <w:sz w:val="28"/>
          <w:szCs w:val="28"/>
          <w:lang w:val="el-GR" w:bidi="en-US"/>
        </w:rPr>
        <w:t xml:space="preserve">) </w:t>
      </w:r>
      <w:r w:rsidR="0053721D">
        <w:rPr>
          <w:rStyle w:val="BodyTextChar"/>
          <w:rFonts w:ascii="Bookman Old Style" w:hAnsi="Bookman Old Style"/>
          <w:sz w:val="28"/>
          <w:szCs w:val="28"/>
          <w:lang w:val="el-GR" w:bidi="en-US"/>
        </w:rPr>
        <w:t xml:space="preserve">ως </w:t>
      </w:r>
      <w:r w:rsidR="0053721D" w:rsidRPr="0053721D">
        <w:rPr>
          <w:rStyle w:val="BodyTextChar"/>
          <w:rFonts w:ascii="Bookman Old Style" w:hAnsi="Bookman Old Style"/>
          <w:i/>
          <w:iCs/>
          <w:sz w:val="28"/>
          <w:szCs w:val="28"/>
          <w:lang w:val="el-GR" w:bidi="en-US"/>
        </w:rPr>
        <w:t>«Πιστωτικό Ίδρυμα πρώτιστης ανησυχίας για ξέπλυμα χρήματος»</w:t>
      </w:r>
      <w:r w:rsidR="0053721D">
        <w:rPr>
          <w:rStyle w:val="BodyTextChar"/>
          <w:rFonts w:ascii="Bookman Old Style" w:hAnsi="Bookman Old Style"/>
          <w:sz w:val="28"/>
          <w:szCs w:val="28"/>
          <w:lang w:val="el-GR" w:bidi="en-US"/>
        </w:rPr>
        <w:t xml:space="preserve">, σύμφωνα </w:t>
      </w:r>
      <w:r w:rsidR="00A5523B">
        <w:rPr>
          <w:rStyle w:val="BodyTextChar"/>
          <w:rFonts w:ascii="Bookman Old Style" w:hAnsi="Bookman Old Style"/>
          <w:sz w:val="28"/>
          <w:szCs w:val="28"/>
          <w:lang w:val="el-GR" w:bidi="en-US"/>
        </w:rPr>
        <w:t xml:space="preserve">με πρόνοιες </w:t>
      </w:r>
      <w:r w:rsidR="000116F1">
        <w:rPr>
          <w:rStyle w:val="BodyTextChar"/>
          <w:rFonts w:ascii="Bookman Old Style" w:hAnsi="Bookman Old Style"/>
          <w:sz w:val="28"/>
          <w:szCs w:val="28"/>
          <w:lang w:val="el-GR" w:bidi="en-US"/>
        </w:rPr>
        <w:t xml:space="preserve">σχετικής </w:t>
      </w:r>
      <w:r w:rsidR="00A5523B">
        <w:rPr>
          <w:rStyle w:val="BodyTextChar"/>
          <w:rFonts w:ascii="Bookman Old Style" w:hAnsi="Bookman Old Style"/>
          <w:sz w:val="28"/>
          <w:szCs w:val="28"/>
          <w:lang w:val="el-GR" w:bidi="en-US"/>
        </w:rPr>
        <w:t xml:space="preserve">νομοθεσίας των Η.Π.Α., ειδικότερα </w:t>
      </w:r>
      <w:r w:rsidR="0053721D">
        <w:rPr>
          <w:rStyle w:val="BodyTextChar"/>
          <w:rFonts w:ascii="Bookman Old Style" w:hAnsi="Bookman Old Style"/>
          <w:sz w:val="28"/>
          <w:szCs w:val="28"/>
          <w:lang w:val="el-GR" w:bidi="en-US"/>
        </w:rPr>
        <w:t>το άρθρο 311 του</w:t>
      </w:r>
      <w:r w:rsidR="0053721D" w:rsidRPr="0053721D">
        <w:rPr>
          <w:rStyle w:val="BodyTextChar"/>
          <w:rFonts w:ascii="Bookman Old Style" w:hAnsi="Bookman Old Style"/>
          <w:sz w:val="28"/>
          <w:szCs w:val="28"/>
          <w:lang w:val="el-GR" w:bidi="en-US"/>
        </w:rPr>
        <w:t xml:space="preserve"> </w:t>
      </w:r>
      <w:r w:rsidR="0053721D">
        <w:rPr>
          <w:rStyle w:val="BodyTextChar"/>
          <w:rFonts w:ascii="Bookman Old Style" w:hAnsi="Bookman Old Style"/>
          <w:sz w:val="28"/>
          <w:szCs w:val="28"/>
          <w:lang w:bidi="en-US"/>
        </w:rPr>
        <w:t>USA</w:t>
      </w:r>
      <w:r w:rsidR="0053721D" w:rsidRPr="0053721D">
        <w:rPr>
          <w:rStyle w:val="BodyTextChar"/>
          <w:rFonts w:ascii="Bookman Old Style" w:hAnsi="Bookman Old Style"/>
          <w:sz w:val="28"/>
          <w:szCs w:val="28"/>
          <w:lang w:val="el-GR" w:bidi="en-US"/>
        </w:rPr>
        <w:t xml:space="preserve"> </w:t>
      </w:r>
      <w:r w:rsidR="0053721D">
        <w:rPr>
          <w:rStyle w:val="BodyTextChar"/>
          <w:rFonts w:ascii="Bookman Old Style" w:hAnsi="Bookman Old Style"/>
          <w:sz w:val="28"/>
          <w:szCs w:val="28"/>
          <w:lang w:bidi="en-US"/>
        </w:rPr>
        <w:t>PATRIOT</w:t>
      </w:r>
      <w:r w:rsidR="0053721D" w:rsidRPr="0053721D">
        <w:rPr>
          <w:rStyle w:val="BodyTextChar"/>
          <w:rFonts w:ascii="Bookman Old Style" w:hAnsi="Bookman Old Style"/>
          <w:sz w:val="28"/>
          <w:szCs w:val="28"/>
          <w:lang w:val="el-GR" w:bidi="en-US"/>
        </w:rPr>
        <w:t xml:space="preserve"> </w:t>
      </w:r>
      <w:r w:rsidR="0053721D">
        <w:rPr>
          <w:rStyle w:val="BodyTextChar"/>
          <w:rFonts w:ascii="Bookman Old Style" w:hAnsi="Bookman Old Style"/>
          <w:sz w:val="28"/>
          <w:szCs w:val="28"/>
          <w:lang w:bidi="en-US"/>
        </w:rPr>
        <w:t>ACT</w:t>
      </w:r>
      <w:r w:rsidR="0053721D" w:rsidRPr="0053721D">
        <w:rPr>
          <w:rStyle w:val="BodyTextChar"/>
          <w:rFonts w:ascii="Bookman Old Style" w:hAnsi="Bookman Old Style"/>
          <w:sz w:val="28"/>
          <w:szCs w:val="28"/>
          <w:lang w:val="el-GR" w:bidi="en-US"/>
        </w:rPr>
        <w:t>.</w:t>
      </w:r>
      <w:r w:rsidR="00623C39">
        <w:rPr>
          <w:rStyle w:val="BodyTextChar"/>
          <w:rFonts w:ascii="Bookman Old Style" w:hAnsi="Bookman Old Style"/>
          <w:sz w:val="28"/>
          <w:szCs w:val="28"/>
          <w:lang w:val="el-GR" w:bidi="en-US"/>
        </w:rPr>
        <w:t xml:space="preserve"> </w:t>
      </w:r>
      <w:r w:rsidR="00EB749C">
        <w:rPr>
          <w:rStyle w:val="BodyTextChar"/>
          <w:rFonts w:ascii="Bookman Old Style" w:hAnsi="Bookman Old Style"/>
          <w:sz w:val="28"/>
          <w:szCs w:val="28"/>
          <w:lang w:val="el-GR" w:bidi="en-US"/>
        </w:rPr>
        <w:t xml:space="preserve">Στις </w:t>
      </w:r>
      <w:r w:rsidR="00B6148F">
        <w:rPr>
          <w:rStyle w:val="BodyTextChar"/>
          <w:rFonts w:ascii="Bookman Old Style" w:hAnsi="Bookman Old Style"/>
          <w:sz w:val="28"/>
          <w:szCs w:val="28"/>
          <w:lang w:val="el-GR" w:bidi="en-US"/>
        </w:rPr>
        <w:t>21.</w:t>
      </w:r>
      <w:r w:rsidR="000116F1">
        <w:rPr>
          <w:rStyle w:val="BodyTextChar"/>
          <w:rFonts w:ascii="Bookman Old Style" w:hAnsi="Bookman Old Style"/>
          <w:sz w:val="28"/>
          <w:szCs w:val="28"/>
          <w:lang w:val="el-GR" w:bidi="en-US"/>
        </w:rPr>
        <w:t>0</w:t>
      </w:r>
      <w:r w:rsidR="00B6148F">
        <w:rPr>
          <w:rStyle w:val="BodyTextChar"/>
          <w:rFonts w:ascii="Bookman Old Style" w:hAnsi="Bookman Old Style"/>
          <w:sz w:val="28"/>
          <w:szCs w:val="28"/>
          <w:lang w:val="el-GR" w:bidi="en-US"/>
        </w:rPr>
        <w:t xml:space="preserve">7.2014, το υποκατάστημα της ως άνω </w:t>
      </w:r>
      <w:r w:rsidR="009C04E9">
        <w:rPr>
          <w:rStyle w:val="BodyTextChar"/>
          <w:rFonts w:ascii="Bookman Old Style" w:hAnsi="Bookman Old Style"/>
          <w:sz w:val="28"/>
          <w:szCs w:val="28"/>
          <w:lang w:val="el-GR" w:bidi="en-US"/>
        </w:rPr>
        <w:t>τράπεζας</w:t>
      </w:r>
      <w:r w:rsidR="00B6148F">
        <w:rPr>
          <w:rStyle w:val="BodyTextChar"/>
          <w:rFonts w:ascii="Bookman Old Style" w:hAnsi="Bookman Old Style"/>
          <w:sz w:val="28"/>
          <w:szCs w:val="28"/>
          <w:lang w:val="el-GR" w:bidi="en-US"/>
        </w:rPr>
        <w:t xml:space="preserve"> στην Κύπρο τέθηκε </w:t>
      </w:r>
      <w:r w:rsidR="00EB749C">
        <w:rPr>
          <w:rStyle w:val="BodyTextChar"/>
          <w:rFonts w:ascii="Bookman Old Style" w:hAnsi="Bookman Old Style"/>
          <w:sz w:val="28"/>
          <w:szCs w:val="28"/>
          <w:lang w:val="el-GR" w:bidi="en-US"/>
        </w:rPr>
        <w:t xml:space="preserve">από </w:t>
      </w:r>
      <w:r w:rsidR="00B6148F">
        <w:rPr>
          <w:rStyle w:val="BodyTextChar"/>
          <w:rFonts w:ascii="Bookman Old Style" w:hAnsi="Bookman Old Style"/>
          <w:sz w:val="28"/>
          <w:szCs w:val="28"/>
          <w:lang w:val="el-GR" w:bidi="en-US"/>
        </w:rPr>
        <w:t xml:space="preserve">τις </w:t>
      </w:r>
      <w:r w:rsidR="009C04E9">
        <w:rPr>
          <w:rStyle w:val="BodyTextChar"/>
          <w:rFonts w:ascii="Bookman Old Style" w:hAnsi="Bookman Old Style"/>
          <w:sz w:val="28"/>
          <w:szCs w:val="28"/>
          <w:lang w:val="el-GR" w:bidi="en-US"/>
        </w:rPr>
        <w:t>αρμόδιες</w:t>
      </w:r>
      <w:r w:rsidR="00B6148F">
        <w:rPr>
          <w:rStyle w:val="BodyTextChar"/>
          <w:rFonts w:ascii="Bookman Old Style" w:hAnsi="Bookman Old Style"/>
          <w:sz w:val="28"/>
          <w:szCs w:val="28"/>
          <w:lang w:val="el-GR" w:bidi="en-US"/>
        </w:rPr>
        <w:t xml:space="preserve"> αρχές της Δημοκρατίας υπό εξυγίανση</w:t>
      </w:r>
      <w:r w:rsidR="00623C39">
        <w:rPr>
          <w:rStyle w:val="BodyTextChar"/>
          <w:rFonts w:ascii="Bookman Old Style" w:hAnsi="Bookman Old Style"/>
          <w:sz w:val="28"/>
          <w:szCs w:val="28"/>
          <w:lang w:val="el-GR" w:bidi="en-US"/>
        </w:rPr>
        <w:t>,</w:t>
      </w:r>
      <w:r w:rsidR="00B6148F">
        <w:rPr>
          <w:rStyle w:val="BodyTextChar"/>
          <w:rFonts w:ascii="Bookman Old Style" w:hAnsi="Bookman Old Style"/>
          <w:sz w:val="28"/>
          <w:szCs w:val="28"/>
          <w:lang w:val="el-GR" w:bidi="en-US"/>
        </w:rPr>
        <w:t xml:space="preserve"> με σκοπό την πώληση των εργασιών της, απόφαση όμως </w:t>
      </w:r>
      <w:r w:rsidR="00A5523B">
        <w:rPr>
          <w:rStyle w:val="BodyTextChar"/>
          <w:rFonts w:ascii="Bookman Old Style" w:hAnsi="Bookman Old Style"/>
          <w:sz w:val="28"/>
          <w:szCs w:val="28"/>
          <w:lang w:val="el-GR" w:bidi="en-US"/>
        </w:rPr>
        <w:t xml:space="preserve">που </w:t>
      </w:r>
      <w:r w:rsidR="00EB749C">
        <w:rPr>
          <w:rStyle w:val="BodyTextChar"/>
          <w:rFonts w:ascii="Bookman Old Style" w:hAnsi="Bookman Old Style"/>
          <w:sz w:val="28"/>
          <w:szCs w:val="28"/>
          <w:lang w:val="el-GR" w:bidi="en-US"/>
        </w:rPr>
        <w:t xml:space="preserve">σε χρόνο μεταγενέστερο, </w:t>
      </w:r>
      <w:r w:rsidR="000116F1">
        <w:rPr>
          <w:rStyle w:val="BodyTextChar"/>
          <w:rFonts w:ascii="Bookman Old Style" w:hAnsi="Bookman Old Style"/>
          <w:sz w:val="28"/>
          <w:szCs w:val="28"/>
          <w:lang w:val="el-GR" w:bidi="en-US"/>
        </w:rPr>
        <w:t xml:space="preserve">ειδικότερα στις </w:t>
      </w:r>
      <w:r w:rsidR="00A5523B">
        <w:rPr>
          <w:rStyle w:val="BodyTextChar"/>
          <w:rFonts w:ascii="Bookman Old Style" w:hAnsi="Bookman Old Style"/>
          <w:sz w:val="28"/>
          <w:szCs w:val="28"/>
          <w:lang w:val="el-GR" w:bidi="en-US"/>
        </w:rPr>
        <w:t>24.02.2022,</w:t>
      </w:r>
      <w:r w:rsidR="00A5523B" w:rsidRPr="00623C39">
        <w:rPr>
          <w:rStyle w:val="BodyTextChar"/>
          <w:rFonts w:ascii="Bookman Old Style" w:hAnsi="Bookman Old Style"/>
          <w:sz w:val="28"/>
          <w:szCs w:val="28"/>
          <w:lang w:val="el-GR" w:bidi="en-US"/>
        </w:rPr>
        <w:t xml:space="preserve"> </w:t>
      </w:r>
      <w:r w:rsidR="00B6148F">
        <w:rPr>
          <w:rStyle w:val="BodyTextChar"/>
          <w:rFonts w:ascii="Bookman Old Style" w:hAnsi="Bookman Old Style"/>
          <w:sz w:val="28"/>
          <w:szCs w:val="28"/>
          <w:lang w:val="el-GR" w:bidi="en-US"/>
        </w:rPr>
        <w:t>ακυρώθηκε από το Δικαστήριο</w:t>
      </w:r>
      <w:r w:rsidR="00623C39">
        <w:rPr>
          <w:rStyle w:val="BodyTextChar"/>
          <w:rFonts w:ascii="Bookman Old Style" w:hAnsi="Bookman Old Style"/>
          <w:sz w:val="28"/>
          <w:szCs w:val="28"/>
          <w:lang w:val="el-GR" w:bidi="en-US"/>
        </w:rPr>
        <w:t>,</w:t>
      </w:r>
      <w:r w:rsidR="00B6148F">
        <w:rPr>
          <w:rStyle w:val="BodyTextChar"/>
          <w:rFonts w:ascii="Bookman Old Style" w:hAnsi="Bookman Old Style"/>
          <w:sz w:val="28"/>
          <w:szCs w:val="28"/>
          <w:lang w:val="el-GR" w:bidi="en-US"/>
        </w:rPr>
        <w:t xml:space="preserve"> </w:t>
      </w:r>
      <w:r w:rsidR="00623C39">
        <w:rPr>
          <w:rStyle w:val="BodyTextChar"/>
          <w:rFonts w:ascii="Bookman Old Style" w:hAnsi="Bookman Old Style"/>
          <w:sz w:val="28"/>
          <w:szCs w:val="28"/>
          <w:lang w:val="el-GR" w:bidi="en-US"/>
        </w:rPr>
        <w:t>ως παράνομη</w:t>
      </w:r>
      <w:r w:rsidR="00B6148F">
        <w:rPr>
          <w:rStyle w:val="BodyTextChar"/>
          <w:rFonts w:ascii="Bookman Old Style" w:hAnsi="Bookman Old Style"/>
          <w:sz w:val="28"/>
          <w:szCs w:val="28"/>
          <w:lang w:val="el-GR" w:bidi="en-US"/>
        </w:rPr>
        <w:t xml:space="preserve">.  </w:t>
      </w:r>
      <w:r w:rsidR="00623C39">
        <w:rPr>
          <w:rStyle w:val="BodyTextChar"/>
          <w:rFonts w:ascii="Bookman Old Style" w:hAnsi="Bookman Old Style"/>
          <w:sz w:val="28"/>
          <w:szCs w:val="28"/>
          <w:lang w:val="el-GR" w:bidi="en-US"/>
        </w:rPr>
        <w:t>Π</w:t>
      </w:r>
      <w:r w:rsidR="00B6148F">
        <w:rPr>
          <w:rStyle w:val="BodyTextChar"/>
          <w:rFonts w:ascii="Bookman Old Style" w:hAnsi="Bookman Old Style"/>
          <w:sz w:val="28"/>
          <w:szCs w:val="28"/>
          <w:lang w:val="el-GR" w:bidi="en-US"/>
        </w:rPr>
        <w:t xml:space="preserve">αρεμβάλλεται ότι </w:t>
      </w:r>
      <w:r w:rsidR="009C04E9">
        <w:rPr>
          <w:rStyle w:val="BodyTextChar"/>
          <w:rFonts w:ascii="Bookman Old Style" w:hAnsi="Bookman Old Style"/>
          <w:sz w:val="28"/>
          <w:szCs w:val="28"/>
          <w:lang w:val="el-GR" w:bidi="en-US"/>
        </w:rPr>
        <w:t>στις 21.12.2015</w:t>
      </w:r>
      <w:r w:rsidR="00623C39">
        <w:rPr>
          <w:rStyle w:val="BodyTextChar"/>
          <w:rFonts w:ascii="Bookman Old Style" w:hAnsi="Bookman Old Style"/>
          <w:sz w:val="28"/>
          <w:szCs w:val="28"/>
          <w:lang w:val="el-GR" w:bidi="en-US"/>
        </w:rPr>
        <w:t>,</w:t>
      </w:r>
      <w:r w:rsidR="009C04E9">
        <w:rPr>
          <w:rStyle w:val="BodyTextChar"/>
          <w:rFonts w:ascii="Bookman Old Style" w:hAnsi="Bookman Old Style"/>
          <w:sz w:val="28"/>
          <w:szCs w:val="28"/>
          <w:lang w:val="el-GR" w:bidi="en-US"/>
        </w:rPr>
        <w:t xml:space="preserve"> η Κεντρική Τράπεζα της Κύπρου ανακάλεσε την άδεια της </w:t>
      </w:r>
      <w:r w:rsidR="009C04E9">
        <w:rPr>
          <w:rStyle w:val="BodyTextChar"/>
          <w:rFonts w:ascii="Bookman Old Style" w:hAnsi="Bookman Old Style"/>
          <w:sz w:val="28"/>
          <w:szCs w:val="28"/>
          <w:lang w:bidi="en-US"/>
        </w:rPr>
        <w:t>FBME</w:t>
      </w:r>
      <w:r w:rsidR="009C04E9">
        <w:rPr>
          <w:rStyle w:val="BodyTextChar"/>
          <w:rFonts w:ascii="Bookman Old Style" w:hAnsi="Bookman Old Style"/>
          <w:sz w:val="28"/>
          <w:szCs w:val="28"/>
          <w:lang w:val="el-GR" w:bidi="en-US"/>
        </w:rPr>
        <w:t xml:space="preserve"> να λειτουργεί υποκατάστημα στην Κύπρο. </w:t>
      </w:r>
      <w:r w:rsidR="00E344DC">
        <w:rPr>
          <w:rStyle w:val="BodyTextChar"/>
          <w:rFonts w:ascii="Bookman Old Style" w:hAnsi="Bookman Old Style"/>
          <w:sz w:val="28"/>
          <w:szCs w:val="28"/>
          <w:lang w:val="el-GR" w:bidi="en-US"/>
        </w:rPr>
        <w:t xml:space="preserve">Παράλληλα, στις </w:t>
      </w:r>
      <w:r w:rsidR="00623C39">
        <w:rPr>
          <w:rStyle w:val="BodyTextChar"/>
          <w:rFonts w:ascii="Bookman Old Style" w:hAnsi="Bookman Old Style"/>
          <w:sz w:val="28"/>
          <w:szCs w:val="28"/>
          <w:lang w:val="el-GR" w:bidi="en-US"/>
        </w:rPr>
        <w:t>0</w:t>
      </w:r>
      <w:r w:rsidR="00E344DC">
        <w:rPr>
          <w:rStyle w:val="BodyTextChar"/>
          <w:rFonts w:ascii="Bookman Old Style" w:hAnsi="Bookman Old Style"/>
          <w:sz w:val="28"/>
          <w:szCs w:val="28"/>
          <w:lang w:val="el-GR" w:bidi="en-US"/>
        </w:rPr>
        <w:t>5.</w:t>
      </w:r>
      <w:r w:rsidR="00623C39">
        <w:rPr>
          <w:rStyle w:val="BodyTextChar"/>
          <w:rFonts w:ascii="Bookman Old Style" w:hAnsi="Bookman Old Style"/>
          <w:sz w:val="28"/>
          <w:szCs w:val="28"/>
          <w:lang w:val="el-GR" w:bidi="en-US"/>
        </w:rPr>
        <w:t>0</w:t>
      </w:r>
      <w:r w:rsidR="00E344DC">
        <w:rPr>
          <w:rStyle w:val="BodyTextChar"/>
          <w:rFonts w:ascii="Bookman Old Style" w:hAnsi="Bookman Old Style"/>
          <w:sz w:val="28"/>
          <w:szCs w:val="28"/>
          <w:lang w:val="el-GR" w:bidi="en-US"/>
        </w:rPr>
        <w:t>5.2017</w:t>
      </w:r>
      <w:r w:rsidR="00623C39">
        <w:rPr>
          <w:rStyle w:val="BodyTextChar"/>
          <w:rFonts w:ascii="Bookman Old Style" w:hAnsi="Bookman Old Style"/>
          <w:sz w:val="28"/>
          <w:szCs w:val="28"/>
          <w:lang w:val="el-GR" w:bidi="en-US"/>
        </w:rPr>
        <w:t>,</w:t>
      </w:r>
      <w:r w:rsidR="00E344DC">
        <w:rPr>
          <w:rStyle w:val="BodyTextChar"/>
          <w:rFonts w:ascii="Bookman Old Style" w:hAnsi="Bookman Old Style"/>
          <w:sz w:val="28"/>
          <w:szCs w:val="28"/>
          <w:lang w:val="el-GR" w:bidi="en-US"/>
        </w:rPr>
        <w:t xml:space="preserve"> η Κεντρική Τράπεζα της Τανζανίας διέκοψε τις εργασίες της ως άνω τράπεζας,</w:t>
      </w:r>
      <w:r w:rsidR="005F7E99">
        <w:rPr>
          <w:rStyle w:val="BodyTextChar"/>
          <w:rFonts w:ascii="Bookman Old Style" w:hAnsi="Bookman Old Style"/>
          <w:sz w:val="28"/>
          <w:szCs w:val="28"/>
          <w:lang w:val="el-GR" w:bidi="en-US"/>
        </w:rPr>
        <w:t xml:space="preserve"> </w:t>
      </w:r>
      <w:r w:rsidR="00E344DC">
        <w:rPr>
          <w:rStyle w:val="BodyTextChar"/>
          <w:rFonts w:ascii="Bookman Old Style" w:hAnsi="Bookman Old Style"/>
          <w:sz w:val="28"/>
          <w:szCs w:val="28"/>
          <w:lang w:val="el-GR" w:bidi="en-US"/>
        </w:rPr>
        <w:t xml:space="preserve">ανακάλεσε την άδεια της, την έθεσε υπό εκκαθάριση και διόρισε το </w:t>
      </w:r>
      <w:r w:rsidR="00E344DC">
        <w:rPr>
          <w:rStyle w:val="BodyTextChar"/>
          <w:rFonts w:ascii="Bookman Old Style" w:hAnsi="Bookman Old Style"/>
          <w:sz w:val="28"/>
          <w:szCs w:val="28"/>
          <w:lang w:bidi="en-US"/>
        </w:rPr>
        <w:t>Deposit</w:t>
      </w:r>
      <w:r w:rsidR="00E344DC" w:rsidRPr="00E344DC">
        <w:rPr>
          <w:rStyle w:val="BodyTextChar"/>
          <w:rFonts w:ascii="Bookman Old Style" w:hAnsi="Bookman Old Style"/>
          <w:sz w:val="28"/>
          <w:szCs w:val="28"/>
          <w:lang w:val="el-GR" w:bidi="en-US"/>
        </w:rPr>
        <w:t xml:space="preserve"> </w:t>
      </w:r>
      <w:r w:rsidR="00E344DC">
        <w:rPr>
          <w:rStyle w:val="BodyTextChar"/>
          <w:rFonts w:ascii="Bookman Old Style" w:hAnsi="Bookman Old Style"/>
          <w:sz w:val="28"/>
          <w:szCs w:val="28"/>
          <w:lang w:bidi="en-US"/>
        </w:rPr>
        <w:t>Insurance</w:t>
      </w:r>
      <w:r w:rsidR="00E344DC" w:rsidRPr="00E344DC">
        <w:rPr>
          <w:rStyle w:val="BodyTextChar"/>
          <w:rFonts w:ascii="Bookman Old Style" w:hAnsi="Bookman Old Style"/>
          <w:sz w:val="28"/>
          <w:szCs w:val="28"/>
          <w:lang w:val="el-GR" w:bidi="en-US"/>
        </w:rPr>
        <w:t xml:space="preserve"> </w:t>
      </w:r>
      <w:r w:rsidR="00E344DC">
        <w:rPr>
          <w:rStyle w:val="BodyTextChar"/>
          <w:rFonts w:ascii="Bookman Old Style" w:hAnsi="Bookman Old Style"/>
          <w:sz w:val="28"/>
          <w:szCs w:val="28"/>
          <w:lang w:bidi="en-US"/>
        </w:rPr>
        <w:t>Board</w:t>
      </w:r>
      <w:r w:rsidR="00E344DC" w:rsidRPr="00E344DC">
        <w:rPr>
          <w:rStyle w:val="BodyTextChar"/>
          <w:rFonts w:ascii="Bookman Old Style" w:hAnsi="Bookman Old Style"/>
          <w:sz w:val="28"/>
          <w:szCs w:val="28"/>
          <w:lang w:val="el-GR" w:bidi="en-US"/>
        </w:rPr>
        <w:t xml:space="preserve"> </w:t>
      </w:r>
      <w:r w:rsidR="00E344DC">
        <w:rPr>
          <w:rStyle w:val="BodyTextChar"/>
          <w:rFonts w:ascii="Bookman Old Style" w:hAnsi="Bookman Old Style"/>
          <w:sz w:val="28"/>
          <w:szCs w:val="28"/>
          <w:lang w:val="el-GR" w:bidi="en-US"/>
        </w:rPr>
        <w:t>της Τανζανίας (</w:t>
      </w:r>
      <w:r w:rsidR="00E344DC">
        <w:rPr>
          <w:rStyle w:val="BodyTextChar"/>
          <w:rFonts w:ascii="Bookman Old Style" w:hAnsi="Bookman Old Style"/>
          <w:sz w:val="28"/>
          <w:szCs w:val="28"/>
          <w:lang w:bidi="en-US"/>
        </w:rPr>
        <w:t>DIB</w:t>
      </w:r>
      <w:r w:rsidR="00E344DC" w:rsidRPr="00E344DC">
        <w:rPr>
          <w:rStyle w:val="BodyTextChar"/>
          <w:rFonts w:ascii="Bookman Old Style" w:hAnsi="Bookman Old Style"/>
          <w:sz w:val="28"/>
          <w:szCs w:val="28"/>
          <w:lang w:val="el-GR" w:bidi="en-US"/>
        </w:rPr>
        <w:t>)</w:t>
      </w:r>
      <w:r w:rsidR="00E344DC">
        <w:rPr>
          <w:rStyle w:val="BodyTextChar"/>
          <w:rFonts w:ascii="Bookman Old Style" w:hAnsi="Bookman Old Style"/>
          <w:sz w:val="28"/>
          <w:szCs w:val="28"/>
          <w:lang w:val="el-GR" w:bidi="en-US"/>
        </w:rPr>
        <w:t xml:space="preserve"> ως εκκαθαριστές της. Στις 29.</w:t>
      </w:r>
      <w:r w:rsidR="00623C39">
        <w:rPr>
          <w:rStyle w:val="BodyTextChar"/>
          <w:rFonts w:ascii="Bookman Old Style" w:hAnsi="Bookman Old Style"/>
          <w:sz w:val="28"/>
          <w:szCs w:val="28"/>
          <w:lang w:val="el-GR" w:bidi="en-US"/>
        </w:rPr>
        <w:t>0</w:t>
      </w:r>
      <w:r w:rsidR="00E344DC">
        <w:rPr>
          <w:rStyle w:val="BodyTextChar"/>
          <w:rFonts w:ascii="Bookman Old Style" w:hAnsi="Bookman Old Style"/>
          <w:sz w:val="28"/>
          <w:szCs w:val="28"/>
          <w:lang w:val="el-GR" w:bidi="en-US"/>
        </w:rPr>
        <w:t>5.2017</w:t>
      </w:r>
      <w:r w:rsidR="00623C39">
        <w:rPr>
          <w:rStyle w:val="BodyTextChar"/>
          <w:rFonts w:ascii="Bookman Old Style" w:hAnsi="Bookman Old Style"/>
          <w:sz w:val="28"/>
          <w:szCs w:val="28"/>
          <w:lang w:val="el-GR" w:bidi="en-US"/>
        </w:rPr>
        <w:t>,</w:t>
      </w:r>
      <w:r w:rsidR="00E344DC">
        <w:rPr>
          <w:rStyle w:val="BodyTextChar"/>
          <w:rFonts w:ascii="Bookman Old Style" w:hAnsi="Bookman Old Style"/>
          <w:sz w:val="28"/>
          <w:szCs w:val="28"/>
          <w:lang w:val="el-GR" w:bidi="en-US"/>
        </w:rPr>
        <w:t xml:space="preserve"> εκ μέρους του </w:t>
      </w:r>
      <w:r w:rsidR="00E344DC">
        <w:rPr>
          <w:rStyle w:val="BodyTextChar"/>
          <w:rFonts w:ascii="Bookman Old Style" w:hAnsi="Bookman Old Style"/>
          <w:kern w:val="0"/>
          <w:sz w:val="28"/>
          <w:szCs w:val="28"/>
          <w:lang w:bidi="en-US"/>
          <w14:ligatures w14:val="none"/>
        </w:rPr>
        <w:t>DIB</w:t>
      </w:r>
      <w:r w:rsidR="00E344DC">
        <w:rPr>
          <w:rStyle w:val="BodyTextChar"/>
          <w:rFonts w:ascii="Bookman Old Style" w:hAnsi="Bookman Old Style"/>
          <w:kern w:val="0"/>
          <w:sz w:val="28"/>
          <w:szCs w:val="28"/>
          <w:lang w:val="el-GR" w:bidi="en-US"/>
          <w14:ligatures w14:val="none"/>
        </w:rPr>
        <w:t xml:space="preserve"> καταχωρήθηκε στη Δημοκρατία η </w:t>
      </w:r>
      <w:r w:rsidR="00623C39">
        <w:rPr>
          <w:rStyle w:val="BodyTextChar"/>
          <w:rFonts w:ascii="Bookman Old Style" w:hAnsi="Bookman Old Style"/>
          <w:kern w:val="0"/>
          <w:sz w:val="28"/>
          <w:szCs w:val="28"/>
          <w:lang w:val="el-GR" w:bidi="en-US"/>
          <w14:ligatures w14:val="none"/>
        </w:rPr>
        <w:t>Αίτηση αρ.</w:t>
      </w:r>
      <w:r w:rsidR="00E344DC">
        <w:rPr>
          <w:rStyle w:val="BodyTextChar"/>
          <w:rFonts w:ascii="Bookman Old Style" w:hAnsi="Bookman Old Style"/>
          <w:kern w:val="0"/>
          <w:sz w:val="28"/>
          <w:szCs w:val="28"/>
          <w:lang w:val="el-GR" w:bidi="en-US"/>
          <w14:ligatures w14:val="none"/>
        </w:rPr>
        <w:t xml:space="preserve"> 373/2017 μέσω της οποίας επιζητείτο, μεταξύ άλλων, η αναγνώριση του</w:t>
      </w:r>
      <w:r w:rsidR="00623C39">
        <w:rPr>
          <w:rStyle w:val="BodyTextChar"/>
          <w:rFonts w:ascii="Bookman Old Style" w:hAnsi="Bookman Old Style"/>
          <w:kern w:val="0"/>
          <w:sz w:val="28"/>
          <w:szCs w:val="28"/>
          <w:lang w:val="el-GR" w:bidi="en-US"/>
          <w14:ligatures w14:val="none"/>
        </w:rPr>
        <w:t xml:space="preserve"> άνω </w:t>
      </w:r>
      <w:r w:rsidR="00623C39">
        <w:rPr>
          <w:rStyle w:val="BodyTextChar"/>
          <w:rFonts w:ascii="Bookman Old Style" w:hAnsi="Bookman Old Style"/>
          <w:kern w:val="0"/>
          <w:sz w:val="28"/>
          <w:szCs w:val="28"/>
          <w:lang w:val="en-GB" w:bidi="en-US"/>
          <w14:ligatures w14:val="none"/>
        </w:rPr>
        <w:t>DIB</w:t>
      </w:r>
      <w:r w:rsidR="00E344DC">
        <w:rPr>
          <w:rStyle w:val="BodyTextChar"/>
          <w:rFonts w:ascii="Bookman Old Style" w:hAnsi="Bookman Old Style"/>
          <w:kern w:val="0"/>
          <w:sz w:val="28"/>
          <w:szCs w:val="28"/>
          <w:lang w:val="el-GR" w:bidi="en-US"/>
          <w14:ligatures w14:val="none"/>
        </w:rPr>
        <w:t xml:space="preserve"> ως εκκαθαρισ</w:t>
      </w:r>
      <w:r w:rsidR="00623C39">
        <w:rPr>
          <w:rStyle w:val="BodyTextChar"/>
          <w:rFonts w:ascii="Bookman Old Style" w:hAnsi="Bookman Old Style"/>
          <w:kern w:val="0"/>
          <w:sz w:val="28"/>
          <w:szCs w:val="28"/>
          <w:lang w:val="el-GR" w:bidi="en-US"/>
          <w14:ligatures w14:val="none"/>
        </w:rPr>
        <w:t>τή</w:t>
      </w:r>
      <w:r w:rsidR="00E344DC">
        <w:rPr>
          <w:rStyle w:val="BodyTextChar"/>
          <w:rFonts w:ascii="Bookman Old Style" w:hAnsi="Bookman Old Style"/>
          <w:kern w:val="0"/>
          <w:sz w:val="28"/>
          <w:szCs w:val="28"/>
          <w:lang w:val="el-GR" w:bidi="en-US"/>
          <w14:ligatures w14:val="none"/>
        </w:rPr>
        <w:t xml:space="preserve"> της τράπεζας στην Κύπρο, ως επίσης, διάταγμα με το οποίο να επιτρέπεται στο</w:t>
      </w:r>
      <w:r w:rsidR="00623C39">
        <w:rPr>
          <w:rStyle w:val="BodyTextChar"/>
          <w:rFonts w:ascii="Bookman Old Style" w:hAnsi="Bookman Old Style"/>
          <w:kern w:val="0"/>
          <w:sz w:val="28"/>
          <w:szCs w:val="28"/>
          <w:lang w:val="el-GR" w:bidi="en-US"/>
          <w14:ligatures w14:val="none"/>
        </w:rPr>
        <w:t xml:space="preserve"> </w:t>
      </w:r>
      <w:r w:rsidR="00623C39">
        <w:rPr>
          <w:rStyle w:val="BodyTextChar"/>
          <w:rFonts w:ascii="Bookman Old Style" w:hAnsi="Bookman Old Style"/>
          <w:kern w:val="0"/>
          <w:sz w:val="28"/>
          <w:szCs w:val="28"/>
          <w:lang w:val="en-GB" w:bidi="en-US"/>
          <w14:ligatures w14:val="none"/>
        </w:rPr>
        <w:t>DIB</w:t>
      </w:r>
      <w:r w:rsidR="00E344DC">
        <w:rPr>
          <w:rStyle w:val="BodyTextChar"/>
          <w:rFonts w:ascii="Bookman Old Style" w:hAnsi="Bookman Old Style"/>
          <w:kern w:val="0"/>
          <w:sz w:val="28"/>
          <w:szCs w:val="28"/>
          <w:lang w:val="el-GR" w:bidi="en-US"/>
          <w14:ligatures w14:val="none"/>
        </w:rPr>
        <w:t xml:space="preserve"> να διορίζ</w:t>
      </w:r>
      <w:r w:rsidR="00623C39">
        <w:rPr>
          <w:rStyle w:val="BodyTextChar"/>
          <w:rFonts w:ascii="Bookman Old Style" w:hAnsi="Bookman Old Style"/>
          <w:kern w:val="0"/>
          <w:sz w:val="28"/>
          <w:szCs w:val="28"/>
          <w:lang w:val="el-GR" w:bidi="en-US"/>
          <w14:ligatures w14:val="none"/>
        </w:rPr>
        <w:t xml:space="preserve">ει </w:t>
      </w:r>
      <w:r w:rsidR="00E344DC">
        <w:rPr>
          <w:rStyle w:val="BodyTextChar"/>
          <w:rFonts w:ascii="Bookman Old Style" w:hAnsi="Bookman Old Style"/>
          <w:kern w:val="0"/>
          <w:sz w:val="28"/>
          <w:szCs w:val="28"/>
          <w:lang w:val="el-GR" w:bidi="en-US"/>
          <w14:ligatures w14:val="none"/>
        </w:rPr>
        <w:t>αντιπροσώπους στην Κύπρο ώστε να λειτουργούν για λογαριασμό του.</w:t>
      </w:r>
      <w:r w:rsidR="00F22665">
        <w:rPr>
          <w:rStyle w:val="BodyTextChar"/>
          <w:rFonts w:ascii="Bookman Old Style" w:hAnsi="Bookman Old Style"/>
          <w:kern w:val="0"/>
          <w:sz w:val="28"/>
          <w:szCs w:val="28"/>
          <w:lang w:val="el-GR" w:bidi="en-US"/>
          <w14:ligatures w14:val="none"/>
        </w:rPr>
        <w:t xml:space="preserve"> Στο μεταξύ,</w:t>
      </w:r>
      <w:r w:rsidR="00E344DC">
        <w:rPr>
          <w:rStyle w:val="BodyTextChar"/>
          <w:rFonts w:ascii="Bookman Old Style" w:hAnsi="Bookman Old Style"/>
          <w:kern w:val="0"/>
          <w:sz w:val="28"/>
          <w:szCs w:val="28"/>
          <w:lang w:val="el-GR" w:bidi="en-US"/>
          <w14:ligatures w14:val="none"/>
        </w:rPr>
        <w:t xml:space="preserve"> </w:t>
      </w:r>
      <w:r w:rsidR="00F22665">
        <w:rPr>
          <w:rStyle w:val="BodyTextChar"/>
          <w:rFonts w:ascii="Bookman Old Style" w:hAnsi="Bookman Old Style"/>
          <w:kern w:val="0"/>
          <w:sz w:val="28"/>
          <w:szCs w:val="28"/>
          <w:lang w:val="el-GR" w:bidi="en-US"/>
          <w14:ligatures w14:val="none"/>
        </w:rPr>
        <w:t>α</w:t>
      </w:r>
      <w:r w:rsidR="00661829">
        <w:rPr>
          <w:rStyle w:val="BodyTextChar"/>
          <w:rFonts w:ascii="Bookman Old Style" w:hAnsi="Bookman Old Style"/>
          <w:kern w:val="0"/>
          <w:sz w:val="28"/>
          <w:szCs w:val="28"/>
          <w:lang w:val="el-GR" w:bidi="en-US"/>
          <w14:ligatures w14:val="none"/>
        </w:rPr>
        <w:t>ίτηση η οποία καταχωρήθηκε στις 22.12.2015 από την Κεντρική Τράπεζα της Κύπρου</w:t>
      </w:r>
      <w:r w:rsidR="00636670">
        <w:rPr>
          <w:rStyle w:val="BodyTextChar"/>
          <w:rFonts w:ascii="Bookman Old Style" w:hAnsi="Bookman Old Style"/>
          <w:kern w:val="0"/>
          <w:sz w:val="28"/>
          <w:szCs w:val="28"/>
          <w:lang w:val="el-GR" w:bidi="en-US"/>
          <w14:ligatures w14:val="none"/>
        </w:rPr>
        <w:t xml:space="preserve"> </w:t>
      </w:r>
      <w:r w:rsidR="00661829">
        <w:rPr>
          <w:rStyle w:val="BodyTextChar"/>
          <w:rFonts w:ascii="Bookman Old Style" w:hAnsi="Bookman Old Style"/>
          <w:kern w:val="0"/>
          <w:sz w:val="28"/>
          <w:szCs w:val="28"/>
          <w:lang w:val="el-GR" w:bidi="en-US"/>
          <w14:ligatures w14:val="none"/>
        </w:rPr>
        <w:t xml:space="preserve">με την οποία επιζητείτο η ειδική εκκαθάριση της </w:t>
      </w:r>
      <w:r w:rsidR="00661829">
        <w:rPr>
          <w:rStyle w:val="BodyTextChar"/>
          <w:rFonts w:ascii="Bookman Old Style" w:hAnsi="Bookman Old Style"/>
          <w:kern w:val="0"/>
          <w:sz w:val="28"/>
          <w:szCs w:val="28"/>
          <w:lang w:bidi="en-US"/>
          <w14:ligatures w14:val="none"/>
        </w:rPr>
        <w:t>FBME</w:t>
      </w:r>
      <w:r w:rsidR="0028055E" w:rsidRPr="0028055E">
        <w:rPr>
          <w:rStyle w:val="BodyTextChar"/>
          <w:rFonts w:ascii="Bookman Old Style" w:hAnsi="Bookman Old Style"/>
          <w:kern w:val="0"/>
          <w:sz w:val="28"/>
          <w:szCs w:val="28"/>
          <w:lang w:val="el-GR" w:bidi="en-US"/>
          <w14:ligatures w14:val="none"/>
        </w:rPr>
        <w:t>,</w:t>
      </w:r>
      <w:r w:rsidR="00661829">
        <w:rPr>
          <w:rStyle w:val="BodyTextChar"/>
          <w:rFonts w:ascii="Bookman Old Style" w:hAnsi="Bookman Old Style"/>
          <w:kern w:val="0"/>
          <w:sz w:val="28"/>
          <w:szCs w:val="28"/>
          <w:lang w:val="el-GR" w:bidi="en-US"/>
          <w14:ligatures w14:val="none"/>
        </w:rPr>
        <w:t xml:space="preserve"> </w:t>
      </w:r>
      <w:r w:rsidR="00636670">
        <w:rPr>
          <w:rStyle w:val="BodyTextChar"/>
          <w:rFonts w:ascii="Bookman Old Style" w:hAnsi="Bookman Old Style"/>
          <w:kern w:val="0"/>
          <w:sz w:val="28"/>
          <w:szCs w:val="28"/>
          <w:lang w:val="el-GR" w:bidi="en-US"/>
          <w14:ligatures w14:val="none"/>
        </w:rPr>
        <w:t>(Αίτηση αρ.</w:t>
      </w:r>
      <w:r w:rsidR="00636670" w:rsidRPr="00C364C3">
        <w:rPr>
          <w:rStyle w:val="BodyTextChar"/>
          <w:rFonts w:ascii="Bookman Old Style" w:hAnsi="Bookman Old Style"/>
          <w:kern w:val="0"/>
          <w:sz w:val="28"/>
          <w:szCs w:val="28"/>
          <w:lang w:val="el-GR" w:bidi="en-US"/>
          <w14:ligatures w14:val="none"/>
        </w:rPr>
        <w:t xml:space="preserve"> </w:t>
      </w:r>
      <w:r w:rsidR="00636670">
        <w:rPr>
          <w:rStyle w:val="BodyTextChar"/>
          <w:rFonts w:ascii="Bookman Old Style" w:hAnsi="Bookman Old Style"/>
          <w:kern w:val="0"/>
          <w:sz w:val="28"/>
          <w:szCs w:val="28"/>
          <w:lang w:val="el-GR" w:bidi="en-US"/>
          <w14:ligatures w14:val="none"/>
        </w:rPr>
        <w:t xml:space="preserve">905/15) </w:t>
      </w:r>
      <w:r w:rsidR="00661829">
        <w:rPr>
          <w:rStyle w:val="BodyTextChar"/>
          <w:rFonts w:ascii="Bookman Old Style" w:hAnsi="Bookman Old Style"/>
          <w:kern w:val="0"/>
          <w:sz w:val="28"/>
          <w:szCs w:val="28"/>
          <w:lang w:val="el-GR" w:bidi="en-US"/>
          <w14:ligatures w14:val="none"/>
        </w:rPr>
        <w:t>απορρίφθηκε από το Δικαστήριο</w:t>
      </w:r>
      <w:r w:rsidR="00C364C3">
        <w:rPr>
          <w:rStyle w:val="BodyTextChar"/>
          <w:rFonts w:ascii="Bookman Old Style" w:hAnsi="Bookman Old Style"/>
          <w:kern w:val="0"/>
          <w:sz w:val="28"/>
          <w:szCs w:val="28"/>
          <w:lang w:val="el-GR" w:bidi="en-US"/>
          <w14:ligatures w14:val="none"/>
        </w:rPr>
        <w:t>,</w:t>
      </w:r>
      <w:r w:rsidR="00661829">
        <w:rPr>
          <w:rStyle w:val="BodyTextChar"/>
          <w:rFonts w:ascii="Bookman Old Style" w:hAnsi="Bookman Old Style"/>
          <w:kern w:val="0"/>
          <w:sz w:val="28"/>
          <w:szCs w:val="28"/>
          <w:lang w:val="el-GR" w:bidi="en-US"/>
          <w14:ligatures w14:val="none"/>
        </w:rPr>
        <w:t xml:space="preserve"> απόφαση η οποία </w:t>
      </w:r>
      <w:r w:rsidR="00C364C3">
        <w:rPr>
          <w:rStyle w:val="BodyTextChar"/>
          <w:rFonts w:ascii="Bookman Old Style" w:hAnsi="Bookman Old Style"/>
          <w:kern w:val="0"/>
          <w:sz w:val="28"/>
          <w:szCs w:val="28"/>
          <w:lang w:val="el-GR" w:bidi="en-US"/>
          <w14:ligatures w14:val="none"/>
        </w:rPr>
        <w:t xml:space="preserve">επικυρώθηκε </w:t>
      </w:r>
      <w:r w:rsidR="00661829">
        <w:rPr>
          <w:rStyle w:val="BodyTextChar"/>
          <w:rFonts w:ascii="Bookman Old Style" w:hAnsi="Bookman Old Style"/>
          <w:kern w:val="0"/>
          <w:sz w:val="28"/>
          <w:szCs w:val="28"/>
          <w:lang w:val="el-GR" w:bidi="en-US"/>
          <w14:ligatures w14:val="none"/>
        </w:rPr>
        <w:t>από το Ανώτατο Δικαστήριο στις 21.</w:t>
      </w:r>
      <w:r w:rsidR="000116F1">
        <w:rPr>
          <w:rStyle w:val="BodyTextChar"/>
          <w:rFonts w:ascii="Bookman Old Style" w:hAnsi="Bookman Old Style"/>
          <w:kern w:val="0"/>
          <w:sz w:val="28"/>
          <w:szCs w:val="28"/>
          <w:lang w:val="el-GR" w:bidi="en-US"/>
          <w14:ligatures w14:val="none"/>
        </w:rPr>
        <w:t>0</w:t>
      </w:r>
      <w:r w:rsidR="00661829">
        <w:rPr>
          <w:rStyle w:val="BodyTextChar"/>
          <w:rFonts w:ascii="Bookman Old Style" w:hAnsi="Bookman Old Style"/>
          <w:kern w:val="0"/>
          <w:sz w:val="28"/>
          <w:szCs w:val="28"/>
          <w:lang w:val="el-GR" w:bidi="en-US"/>
          <w14:ligatures w14:val="none"/>
        </w:rPr>
        <w:t xml:space="preserve">6.2018.  </w:t>
      </w:r>
      <w:r w:rsidR="0028055E">
        <w:rPr>
          <w:rStyle w:val="BodyTextChar"/>
          <w:rFonts w:ascii="Bookman Old Style" w:hAnsi="Bookman Old Style"/>
          <w:kern w:val="0"/>
          <w:sz w:val="28"/>
          <w:szCs w:val="28"/>
          <w:lang w:val="el-GR" w:bidi="en-US"/>
          <w14:ligatures w14:val="none"/>
        </w:rPr>
        <w:t>Στις 19.</w:t>
      </w:r>
      <w:r w:rsidR="00C364C3">
        <w:rPr>
          <w:rStyle w:val="BodyTextChar"/>
          <w:rFonts w:ascii="Bookman Old Style" w:hAnsi="Bookman Old Style"/>
          <w:kern w:val="0"/>
          <w:sz w:val="28"/>
          <w:szCs w:val="28"/>
          <w:lang w:val="el-GR" w:bidi="en-US"/>
          <w14:ligatures w14:val="none"/>
        </w:rPr>
        <w:t>0</w:t>
      </w:r>
      <w:r w:rsidR="0028055E">
        <w:rPr>
          <w:rStyle w:val="BodyTextChar"/>
          <w:rFonts w:ascii="Bookman Old Style" w:hAnsi="Bookman Old Style"/>
          <w:kern w:val="0"/>
          <w:sz w:val="28"/>
          <w:szCs w:val="28"/>
          <w:lang w:val="el-GR" w:bidi="en-US"/>
          <w14:ligatures w14:val="none"/>
        </w:rPr>
        <w:t>2.2019</w:t>
      </w:r>
      <w:r w:rsidR="00C364C3">
        <w:rPr>
          <w:rStyle w:val="BodyTextChar"/>
          <w:rFonts w:ascii="Bookman Old Style" w:hAnsi="Bookman Old Style"/>
          <w:kern w:val="0"/>
          <w:sz w:val="28"/>
          <w:szCs w:val="28"/>
          <w:lang w:val="el-GR" w:bidi="en-US"/>
          <w14:ligatures w14:val="none"/>
        </w:rPr>
        <w:t>,</w:t>
      </w:r>
      <w:r w:rsidR="0028055E">
        <w:rPr>
          <w:rStyle w:val="BodyTextChar"/>
          <w:rFonts w:ascii="Bookman Old Style" w:hAnsi="Bookman Old Style"/>
          <w:kern w:val="0"/>
          <w:sz w:val="28"/>
          <w:szCs w:val="28"/>
          <w:lang w:val="el-GR" w:bidi="en-US"/>
          <w14:ligatures w14:val="none"/>
        </w:rPr>
        <w:t xml:space="preserve"> </w:t>
      </w:r>
      <w:r w:rsidR="00C364C3">
        <w:rPr>
          <w:rStyle w:val="BodyTextChar"/>
          <w:rFonts w:ascii="Bookman Old Style" w:hAnsi="Bookman Old Style"/>
          <w:kern w:val="0"/>
          <w:sz w:val="28"/>
          <w:szCs w:val="28"/>
          <w:lang w:val="el-GR" w:bidi="en-US"/>
          <w14:ligatures w14:val="none"/>
        </w:rPr>
        <w:t xml:space="preserve">η Κεντρική Τράπεζα της Κύπρου </w:t>
      </w:r>
      <w:r w:rsidR="0028055E">
        <w:rPr>
          <w:rStyle w:val="BodyTextChar"/>
          <w:rFonts w:ascii="Bookman Old Style" w:hAnsi="Bookman Old Style"/>
          <w:kern w:val="0"/>
          <w:sz w:val="28"/>
          <w:szCs w:val="28"/>
          <w:lang w:val="el-GR" w:bidi="en-US"/>
          <w14:ligatures w14:val="none"/>
        </w:rPr>
        <w:t>καταχ</w:t>
      </w:r>
      <w:r w:rsidR="00C364C3">
        <w:rPr>
          <w:rStyle w:val="BodyTextChar"/>
          <w:rFonts w:ascii="Bookman Old Style" w:hAnsi="Bookman Old Style"/>
          <w:kern w:val="0"/>
          <w:sz w:val="28"/>
          <w:szCs w:val="28"/>
          <w:lang w:val="el-GR" w:bidi="en-US"/>
          <w14:ligatures w14:val="none"/>
        </w:rPr>
        <w:t xml:space="preserve">ώρησε την </w:t>
      </w:r>
      <w:r w:rsidR="0028055E">
        <w:rPr>
          <w:rStyle w:val="BodyTextChar"/>
          <w:rFonts w:ascii="Bookman Old Style" w:hAnsi="Bookman Old Style"/>
          <w:kern w:val="0"/>
          <w:sz w:val="28"/>
          <w:szCs w:val="28"/>
          <w:lang w:val="el-GR" w:bidi="en-US"/>
          <w14:ligatures w14:val="none"/>
        </w:rPr>
        <w:t>Αίτηση αρ. 123/2019</w:t>
      </w:r>
      <w:r w:rsidR="00C364C3">
        <w:rPr>
          <w:rStyle w:val="BodyTextChar"/>
          <w:rFonts w:ascii="Bookman Old Style" w:hAnsi="Bookman Old Style"/>
          <w:kern w:val="0"/>
          <w:sz w:val="28"/>
          <w:szCs w:val="28"/>
          <w:lang w:val="el-GR" w:bidi="en-US"/>
          <w14:ligatures w14:val="none"/>
        </w:rPr>
        <w:t xml:space="preserve">, μέσω της οποίας </w:t>
      </w:r>
      <w:r w:rsidR="0028055E">
        <w:rPr>
          <w:rStyle w:val="BodyTextChar"/>
          <w:rFonts w:ascii="Bookman Old Style" w:hAnsi="Bookman Old Style"/>
          <w:kern w:val="0"/>
          <w:sz w:val="28"/>
          <w:szCs w:val="28"/>
          <w:lang w:val="el-GR" w:bidi="en-US"/>
          <w14:ligatures w14:val="none"/>
        </w:rPr>
        <w:t xml:space="preserve"> </w:t>
      </w:r>
      <w:r w:rsidR="00C364C3">
        <w:rPr>
          <w:rStyle w:val="BodyTextChar"/>
          <w:rFonts w:ascii="Bookman Old Style" w:hAnsi="Bookman Old Style"/>
          <w:kern w:val="0"/>
          <w:sz w:val="28"/>
          <w:szCs w:val="28"/>
          <w:lang w:val="el-GR" w:bidi="en-US"/>
          <w14:ligatures w14:val="none"/>
        </w:rPr>
        <w:t xml:space="preserve">επιζητούσε την </w:t>
      </w:r>
      <w:r w:rsidR="0028055E">
        <w:rPr>
          <w:rStyle w:val="BodyTextChar"/>
          <w:rFonts w:ascii="Bookman Old Style" w:hAnsi="Bookman Old Style"/>
          <w:kern w:val="0"/>
          <w:sz w:val="28"/>
          <w:szCs w:val="28"/>
          <w:lang w:val="el-GR" w:bidi="en-US"/>
          <w14:ligatures w14:val="none"/>
        </w:rPr>
        <w:t xml:space="preserve">εκκαθάριση του υποκαταστήματος της </w:t>
      </w:r>
      <w:r w:rsidR="0028055E">
        <w:rPr>
          <w:rStyle w:val="BodyTextChar"/>
          <w:rFonts w:ascii="Bookman Old Style" w:hAnsi="Bookman Old Style"/>
          <w:kern w:val="0"/>
          <w:sz w:val="28"/>
          <w:szCs w:val="28"/>
          <w:lang w:bidi="en-US"/>
          <w14:ligatures w14:val="none"/>
        </w:rPr>
        <w:t>FBME</w:t>
      </w:r>
      <w:r w:rsidR="0028055E">
        <w:rPr>
          <w:rStyle w:val="BodyTextChar"/>
          <w:rFonts w:ascii="Bookman Old Style" w:hAnsi="Bookman Old Style"/>
          <w:kern w:val="0"/>
          <w:sz w:val="28"/>
          <w:szCs w:val="28"/>
          <w:lang w:val="el-GR" w:bidi="en-US"/>
          <w14:ligatures w14:val="none"/>
        </w:rPr>
        <w:t xml:space="preserve"> στην Κύπρο</w:t>
      </w:r>
      <w:r w:rsidR="00C364C3">
        <w:rPr>
          <w:rStyle w:val="BodyTextChar"/>
          <w:rFonts w:ascii="Bookman Old Style" w:hAnsi="Bookman Old Style"/>
          <w:kern w:val="0"/>
          <w:sz w:val="28"/>
          <w:szCs w:val="28"/>
          <w:lang w:val="el-GR" w:bidi="en-US"/>
          <w14:ligatures w14:val="none"/>
        </w:rPr>
        <w:t xml:space="preserve">, εδράζοντας το αίτημα της, </w:t>
      </w:r>
      <w:r w:rsidR="0028055E">
        <w:rPr>
          <w:rStyle w:val="BodyTextChar"/>
          <w:rFonts w:ascii="Bookman Old Style" w:hAnsi="Bookman Old Style"/>
          <w:kern w:val="0"/>
          <w:sz w:val="28"/>
          <w:szCs w:val="28"/>
          <w:lang w:val="el-GR" w:bidi="en-US"/>
          <w14:ligatures w14:val="none"/>
        </w:rPr>
        <w:t xml:space="preserve"> μεταξύ άλλων,</w:t>
      </w:r>
      <w:r w:rsidR="00C364C3">
        <w:rPr>
          <w:rStyle w:val="BodyTextChar"/>
          <w:rFonts w:ascii="Bookman Old Style" w:hAnsi="Bookman Old Style"/>
          <w:kern w:val="0"/>
          <w:sz w:val="28"/>
          <w:szCs w:val="28"/>
          <w:lang w:val="el-GR" w:bidi="en-US"/>
          <w14:ligatures w14:val="none"/>
        </w:rPr>
        <w:t xml:space="preserve"> </w:t>
      </w:r>
      <w:bookmarkStart w:id="5" w:name="_Hlk143506606"/>
      <w:r w:rsidR="00C364C3">
        <w:rPr>
          <w:rStyle w:val="BodyTextChar"/>
          <w:rFonts w:ascii="Bookman Old Style" w:hAnsi="Bookman Old Style"/>
          <w:kern w:val="0"/>
          <w:sz w:val="28"/>
          <w:szCs w:val="28"/>
          <w:lang w:val="el-GR" w:bidi="en-US"/>
          <w14:ligatures w14:val="none"/>
        </w:rPr>
        <w:t xml:space="preserve">στον </w:t>
      </w:r>
      <w:r w:rsidR="0028055E" w:rsidRPr="0028055E">
        <w:rPr>
          <w:rStyle w:val="BodyTextChar"/>
          <w:rFonts w:ascii="Bookman Old Style" w:hAnsi="Bookman Old Style"/>
          <w:kern w:val="0"/>
          <w:sz w:val="28"/>
          <w:szCs w:val="28"/>
          <w:lang w:val="el-GR" w:bidi="en-US"/>
          <w14:ligatures w14:val="none"/>
        </w:rPr>
        <w:t>περί Εργασιών Πιστωτικών Ιδρυμάτων Νόμο του 1997 (Ν.66(Ι)/1997),</w:t>
      </w:r>
      <w:bookmarkEnd w:id="5"/>
      <w:r w:rsidR="0028055E" w:rsidRPr="0028055E">
        <w:rPr>
          <w:rStyle w:val="BodyTextChar"/>
          <w:rFonts w:ascii="Bookman Old Style" w:hAnsi="Bookman Old Style"/>
          <w:kern w:val="0"/>
          <w:sz w:val="28"/>
          <w:szCs w:val="28"/>
          <w:lang w:val="el-GR" w:bidi="en-US"/>
          <w14:ligatures w14:val="none"/>
        </w:rPr>
        <w:t xml:space="preserve"> το</w:t>
      </w:r>
      <w:r w:rsidR="00C364C3">
        <w:rPr>
          <w:rStyle w:val="BodyTextChar"/>
          <w:rFonts w:ascii="Bookman Old Style" w:hAnsi="Bookman Old Style"/>
          <w:kern w:val="0"/>
          <w:sz w:val="28"/>
          <w:szCs w:val="28"/>
          <w:lang w:val="el-GR" w:bidi="en-US"/>
          <w14:ligatures w14:val="none"/>
        </w:rPr>
        <w:t>ν</w:t>
      </w:r>
      <w:r w:rsidR="0028055E" w:rsidRPr="0028055E">
        <w:rPr>
          <w:rStyle w:val="BodyTextChar"/>
          <w:rFonts w:ascii="Bookman Old Style" w:hAnsi="Bookman Old Style"/>
          <w:kern w:val="0"/>
          <w:sz w:val="28"/>
          <w:szCs w:val="28"/>
          <w:lang w:val="el-GR" w:bidi="en-US"/>
          <w14:ligatures w14:val="none"/>
        </w:rPr>
        <w:t xml:space="preserve"> περί Εξυγίανσης Πιστωτικών Ιδρυμάτων Νόμο (Ν.22(Ι)/2016) και το</w:t>
      </w:r>
      <w:r w:rsidR="00C364C3">
        <w:rPr>
          <w:rStyle w:val="BodyTextChar"/>
          <w:rFonts w:ascii="Bookman Old Style" w:hAnsi="Bookman Old Style"/>
          <w:kern w:val="0"/>
          <w:sz w:val="28"/>
          <w:szCs w:val="28"/>
          <w:lang w:val="el-GR" w:bidi="en-US"/>
          <w14:ligatures w14:val="none"/>
        </w:rPr>
        <w:t>ν</w:t>
      </w:r>
      <w:r w:rsidR="0028055E" w:rsidRPr="0028055E">
        <w:rPr>
          <w:rStyle w:val="BodyTextChar"/>
          <w:rFonts w:ascii="Bookman Old Style" w:hAnsi="Bookman Old Style"/>
          <w:kern w:val="0"/>
          <w:sz w:val="28"/>
          <w:szCs w:val="28"/>
          <w:lang w:val="el-GR" w:bidi="en-US"/>
          <w14:ligatures w14:val="none"/>
        </w:rPr>
        <w:t xml:space="preserve"> περί Εταιρειών Νόμο (ΚΕΦ. 113). </w:t>
      </w:r>
      <w:r w:rsidR="008B7D05">
        <w:rPr>
          <w:rStyle w:val="BodyTextChar"/>
          <w:rFonts w:ascii="Bookman Old Style" w:hAnsi="Bookman Old Style"/>
          <w:kern w:val="0"/>
          <w:sz w:val="28"/>
          <w:szCs w:val="28"/>
          <w:lang w:val="el-GR" w:bidi="en-US"/>
          <w14:ligatures w14:val="none"/>
        </w:rPr>
        <w:t xml:space="preserve">Στις </w:t>
      </w:r>
      <w:r w:rsidR="0028055E">
        <w:rPr>
          <w:rStyle w:val="BodyTextChar"/>
          <w:rFonts w:ascii="Bookman Old Style" w:hAnsi="Bookman Old Style"/>
          <w:kern w:val="0"/>
          <w:sz w:val="28"/>
          <w:szCs w:val="28"/>
          <w:lang w:val="el-GR" w:bidi="en-US"/>
          <w14:ligatures w14:val="none"/>
        </w:rPr>
        <w:t>24.</w:t>
      </w:r>
      <w:r w:rsidR="000116F1">
        <w:rPr>
          <w:rStyle w:val="BodyTextChar"/>
          <w:rFonts w:ascii="Bookman Old Style" w:hAnsi="Bookman Old Style"/>
          <w:kern w:val="0"/>
          <w:sz w:val="28"/>
          <w:szCs w:val="28"/>
          <w:lang w:val="el-GR" w:bidi="en-US"/>
          <w14:ligatures w14:val="none"/>
        </w:rPr>
        <w:t>0</w:t>
      </w:r>
      <w:r w:rsidR="0028055E">
        <w:rPr>
          <w:rStyle w:val="BodyTextChar"/>
          <w:rFonts w:ascii="Bookman Old Style" w:hAnsi="Bookman Old Style"/>
          <w:kern w:val="0"/>
          <w:sz w:val="28"/>
          <w:szCs w:val="28"/>
          <w:lang w:val="el-GR" w:bidi="en-US"/>
          <w14:ligatures w14:val="none"/>
        </w:rPr>
        <w:t xml:space="preserve">6.2022, </w:t>
      </w:r>
      <w:r w:rsidR="00C72000">
        <w:rPr>
          <w:rStyle w:val="BodyTextChar"/>
          <w:rFonts w:ascii="Bookman Old Style" w:hAnsi="Bookman Old Style"/>
          <w:kern w:val="0"/>
          <w:sz w:val="28"/>
          <w:szCs w:val="28"/>
          <w:lang w:val="el-GR" w:bidi="en-US"/>
          <w14:ligatures w14:val="none"/>
        </w:rPr>
        <w:t xml:space="preserve">οι </w:t>
      </w:r>
      <w:r w:rsidR="00C364C3">
        <w:rPr>
          <w:rStyle w:val="BodyTextChar"/>
          <w:rFonts w:ascii="Bookman Old Style" w:hAnsi="Bookman Old Style"/>
          <w:kern w:val="0"/>
          <w:sz w:val="28"/>
          <w:szCs w:val="28"/>
          <w:lang w:val="el-GR" w:bidi="en-US"/>
          <w14:ligatures w14:val="none"/>
        </w:rPr>
        <w:t>α</w:t>
      </w:r>
      <w:r w:rsidR="00C72000">
        <w:rPr>
          <w:rStyle w:val="BodyTextChar"/>
          <w:rFonts w:ascii="Bookman Old Style" w:hAnsi="Bookman Old Style"/>
          <w:kern w:val="0"/>
          <w:sz w:val="28"/>
          <w:szCs w:val="28"/>
          <w:lang w:val="el-GR" w:bidi="en-US"/>
          <w14:ligatures w14:val="none"/>
        </w:rPr>
        <w:t xml:space="preserve">ιτητές στην υπό συζήτηση </w:t>
      </w:r>
      <w:r w:rsidR="00636670">
        <w:rPr>
          <w:rStyle w:val="BodyTextChar"/>
          <w:rFonts w:ascii="Bookman Old Style" w:hAnsi="Bookman Old Style"/>
          <w:kern w:val="0"/>
          <w:sz w:val="28"/>
          <w:szCs w:val="28"/>
          <w:lang w:val="el-GR" w:bidi="en-US"/>
          <w14:ligatures w14:val="none"/>
        </w:rPr>
        <w:t>α</w:t>
      </w:r>
      <w:r w:rsidR="00C72000">
        <w:rPr>
          <w:rStyle w:val="BodyTextChar"/>
          <w:rFonts w:ascii="Bookman Old Style" w:hAnsi="Bookman Old Style"/>
          <w:kern w:val="0"/>
          <w:sz w:val="28"/>
          <w:szCs w:val="28"/>
          <w:lang w:val="el-GR" w:bidi="en-US"/>
          <w14:ligatures w14:val="none"/>
        </w:rPr>
        <w:t>ίτηση</w:t>
      </w:r>
      <w:r w:rsidR="00C364C3">
        <w:rPr>
          <w:rStyle w:val="BodyTextChar"/>
          <w:rFonts w:ascii="Bookman Old Style" w:hAnsi="Bookman Old Style"/>
          <w:kern w:val="0"/>
          <w:sz w:val="28"/>
          <w:szCs w:val="28"/>
          <w:lang w:val="el-GR" w:bidi="en-US"/>
          <w14:ligatures w14:val="none"/>
        </w:rPr>
        <w:t>,</w:t>
      </w:r>
      <w:r w:rsidR="00636670">
        <w:rPr>
          <w:rStyle w:val="BodyTextChar"/>
          <w:rFonts w:ascii="Bookman Old Style" w:hAnsi="Bookman Old Style"/>
          <w:kern w:val="0"/>
          <w:sz w:val="28"/>
          <w:szCs w:val="28"/>
          <w:lang w:val="el-GR" w:bidi="en-US"/>
          <w14:ligatures w14:val="none"/>
        </w:rPr>
        <w:t xml:space="preserve"> (τελικοί δικαιούχοι της </w:t>
      </w:r>
      <w:r w:rsidR="00636670">
        <w:rPr>
          <w:rStyle w:val="BodyTextChar"/>
          <w:rFonts w:ascii="Bookman Old Style" w:hAnsi="Bookman Old Style"/>
          <w:kern w:val="0"/>
          <w:sz w:val="28"/>
          <w:szCs w:val="28"/>
          <w:lang w:val="en-GB" w:bidi="en-US"/>
          <w14:ligatures w14:val="none"/>
        </w:rPr>
        <w:t>FBME</w:t>
      </w:r>
      <w:r w:rsidR="00636670">
        <w:rPr>
          <w:rStyle w:val="BodyTextChar"/>
          <w:rFonts w:ascii="Bookman Old Style" w:hAnsi="Bookman Old Style"/>
          <w:kern w:val="0"/>
          <w:sz w:val="28"/>
          <w:szCs w:val="28"/>
          <w:lang w:val="el-GR" w:bidi="en-US"/>
          <w14:ligatures w14:val="none"/>
        </w:rPr>
        <w:t>)</w:t>
      </w:r>
      <w:r w:rsidR="00C72000">
        <w:rPr>
          <w:rStyle w:val="BodyTextChar"/>
          <w:rFonts w:ascii="Bookman Old Style" w:hAnsi="Bookman Old Style"/>
          <w:kern w:val="0"/>
          <w:sz w:val="28"/>
          <w:szCs w:val="28"/>
          <w:lang w:val="el-GR" w:bidi="en-US"/>
          <w14:ligatures w14:val="none"/>
        </w:rPr>
        <w:t xml:space="preserve"> υπό την ιδιότητα τους ως καταθέτες της </w:t>
      </w:r>
      <w:r w:rsidR="00C72000">
        <w:rPr>
          <w:rStyle w:val="BodyTextChar"/>
          <w:rFonts w:ascii="Bookman Old Style" w:hAnsi="Bookman Old Style"/>
          <w:kern w:val="0"/>
          <w:sz w:val="28"/>
          <w:szCs w:val="28"/>
          <w:lang w:bidi="en-US"/>
          <w14:ligatures w14:val="none"/>
        </w:rPr>
        <w:t>FBME</w:t>
      </w:r>
      <w:r w:rsidR="008B7D05">
        <w:rPr>
          <w:rStyle w:val="BodyTextChar"/>
          <w:rFonts w:ascii="Bookman Old Style" w:hAnsi="Bookman Old Style"/>
          <w:kern w:val="0"/>
          <w:sz w:val="28"/>
          <w:szCs w:val="28"/>
          <w:lang w:val="el-GR" w:bidi="en-US"/>
          <w14:ligatures w14:val="none"/>
        </w:rPr>
        <w:t>,</w:t>
      </w:r>
      <w:r w:rsidR="00C72000">
        <w:rPr>
          <w:rStyle w:val="BodyTextChar"/>
          <w:rFonts w:ascii="Bookman Old Style" w:hAnsi="Bookman Old Style"/>
          <w:kern w:val="0"/>
          <w:sz w:val="28"/>
          <w:szCs w:val="28"/>
          <w:lang w:val="el-GR" w:bidi="en-US"/>
          <w14:ligatures w14:val="none"/>
        </w:rPr>
        <w:t xml:space="preserve"> καταχώρησαν την Αίτηση αρ. 373/2022</w:t>
      </w:r>
      <w:r w:rsidR="008B7D05">
        <w:rPr>
          <w:rStyle w:val="BodyTextChar"/>
          <w:rFonts w:ascii="Bookman Old Style" w:hAnsi="Bookman Old Style"/>
          <w:kern w:val="0"/>
          <w:sz w:val="28"/>
          <w:szCs w:val="28"/>
          <w:lang w:val="el-GR" w:bidi="en-US"/>
          <w14:ligatures w14:val="none"/>
        </w:rPr>
        <w:t>,</w:t>
      </w:r>
      <w:r w:rsidR="00C72000">
        <w:rPr>
          <w:rStyle w:val="BodyTextChar"/>
          <w:rFonts w:ascii="Bookman Old Style" w:hAnsi="Bookman Old Style"/>
          <w:kern w:val="0"/>
          <w:sz w:val="28"/>
          <w:szCs w:val="28"/>
          <w:lang w:val="el-GR" w:bidi="en-US"/>
          <w14:ligatures w14:val="none"/>
        </w:rPr>
        <w:t xml:space="preserve"> μέσω της οποίας </w:t>
      </w:r>
      <w:r w:rsidR="008B7D05">
        <w:rPr>
          <w:rStyle w:val="BodyTextChar"/>
          <w:rFonts w:ascii="Bookman Old Style" w:hAnsi="Bookman Old Style"/>
          <w:kern w:val="0"/>
          <w:sz w:val="28"/>
          <w:szCs w:val="28"/>
          <w:lang w:val="el-GR" w:bidi="en-US"/>
          <w14:ligatures w14:val="none"/>
        </w:rPr>
        <w:t>επιζητείται η ε</w:t>
      </w:r>
      <w:r w:rsidR="00C72000">
        <w:rPr>
          <w:rStyle w:val="BodyTextChar"/>
          <w:rFonts w:ascii="Bookman Old Style" w:hAnsi="Bookman Old Style"/>
          <w:kern w:val="0"/>
          <w:sz w:val="28"/>
          <w:szCs w:val="28"/>
          <w:lang w:val="el-GR" w:bidi="en-US"/>
          <w14:ligatures w14:val="none"/>
        </w:rPr>
        <w:t xml:space="preserve">κκαθάριση της </w:t>
      </w:r>
      <w:r w:rsidR="00C72000">
        <w:rPr>
          <w:rStyle w:val="BodyTextChar"/>
          <w:rFonts w:ascii="Bookman Old Style" w:hAnsi="Bookman Old Style"/>
          <w:kern w:val="0"/>
          <w:sz w:val="28"/>
          <w:szCs w:val="28"/>
          <w:lang w:bidi="en-US"/>
          <w14:ligatures w14:val="none"/>
        </w:rPr>
        <w:t>FBME</w:t>
      </w:r>
      <w:r w:rsidR="00C72000">
        <w:rPr>
          <w:rStyle w:val="BodyTextChar"/>
          <w:rFonts w:ascii="Bookman Old Style" w:hAnsi="Bookman Old Style"/>
          <w:kern w:val="0"/>
          <w:sz w:val="28"/>
          <w:szCs w:val="28"/>
          <w:lang w:val="el-GR" w:bidi="en-US"/>
          <w14:ligatures w14:val="none"/>
        </w:rPr>
        <w:t xml:space="preserve"> στη βάση του άρθρου 362 του περί Εταιρειών Νόμου (ΚΕΦ. 113).  Οι </w:t>
      </w:r>
      <w:r w:rsidR="000116F1">
        <w:rPr>
          <w:rStyle w:val="BodyTextChar"/>
          <w:rFonts w:ascii="Bookman Old Style" w:hAnsi="Bookman Old Style"/>
          <w:kern w:val="0"/>
          <w:sz w:val="28"/>
          <w:szCs w:val="28"/>
          <w:lang w:val="el-GR" w:bidi="en-US"/>
          <w14:ligatures w14:val="none"/>
        </w:rPr>
        <w:t xml:space="preserve">αιτητές </w:t>
      </w:r>
      <w:r w:rsidR="00C72000">
        <w:rPr>
          <w:rStyle w:val="BodyTextChar"/>
          <w:rFonts w:ascii="Bookman Old Style" w:hAnsi="Bookman Old Style"/>
          <w:kern w:val="0"/>
          <w:sz w:val="28"/>
          <w:szCs w:val="28"/>
          <w:lang w:val="el-GR" w:bidi="en-US"/>
          <w14:ligatures w14:val="none"/>
        </w:rPr>
        <w:t xml:space="preserve">στην υπό συζήτηση </w:t>
      </w:r>
      <w:r w:rsidR="00636670">
        <w:rPr>
          <w:rStyle w:val="BodyTextChar"/>
          <w:rFonts w:ascii="Bookman Old Style" w:hAnsi="Bookman Old Style"/>
          <w:kern w:val="0"/>
          <w:sz w:val="28"/>
          <w:szCs w:val="28"/>
          <w:lang w:val="el-GR" w:bidi="en-US"/>
          <w14:ligatures w14:val="none"/>
        </w:rPr>
        <w:t>α</w:t>
      </w:r>
      <w:r w:rsidR="00C72000">
        <w:rPr>
          <w:rStyle w:val="BodyTextChar"/>
          <w:rFonts w:ascii="Bookman Old Style" w:hAnsi="Bookman Old Style"/>
          <w:kern w:val="0"/>
          <w:sz w:val="28"/>
          <w:szCs w:val="28"/>
          <w:lang w:val="el-GR" w:bidi="en-US"/>
          <w14:ligatures w14:val="none"/>
        </w:rPr>
        <w:t xml:space="preserve">ίτηση, η Κεντρική Τράπεζα της Κύπρου, το </w:t>
      </w:r>
      <w:r w:rsidR="00C72000">
        <w:rPr>
          <w:rStyle w:val="BodyTextChar"/>
          <w:rFonts w:ascii="Bookman Old Style" w:hAnsi="Bookman Old Style"/>
          <w:kern w:val="0"/>
          <w:sz w:val="28"/>
          <w:szCs w:val="28"/>
          <w:lang w:bidi="en-US"/>
          <w14:ligatures w14:val="none"/>
        </w:rPr>
        <w:t>DIB</w:t>
      </w:r>
      <w:r w:rsidR="00C72000">
        <w:rPr>
          <w:rStyle w:val="BodyTextChar"/>
          <w:rFonts w:ascii="Bookman Old Style" w:hAnsi="Bookman Old Style"/>
          <w:kern w:val="0"/>
          <w:sz w:val="28"/>
          <w:szCs w:val="28"/>
          <w:lang w:val="el-GR" w:bidi="en-US"/>
          <w14:ligatures w14:val="none"/>
        </w:rPr>
        <w:t xml:space="preserve"> και διάφοροι καταθέτες της </w:t>
      </w:r>
      <w:r w:rsidR="00C72000">
        <w:rPr>
          <w:rStyle w:val="BodyTextChar"/>
          <w:rFonts w:ascii="Bookman Old Style" w:hAnsi="Bookman Old Style"/>
          <w:kern w:val="0"/>
          <w:sz w:val="28"/>
          <w:szCs w:val="28"/>
          <w:lang w:bidi="en-US"/>
          <w14:ligatures w14:val="none"/>
        </w:rPr>
        <w:t>FBME</w:t>
      </w:r>
      <w:r w:rsidR="008B7D05">
        <w:rPr>
          <w:rStyle w:val="BodyTextChar"/>
          <w:rFonts w:ascii="Bookman Old Style" w:hAnsi="Bookman Old Style"/>
          <w:kern w:val="0"/>
          <w:sz w:val="28"/>
          <w:szCs w:val="28"/>
          <w:lang w:val="el-GR" w:bidi="en-US"/>
          <w14:ligatures w14:val="none"/>
        </w:rPr>
        <w:t>,</w:t>
      </w:r>
      <w:r w:rsidR="00C72000">
        <w:rPr>
          <w:rStyle w:val="BodyTextChar"/>
          <w:rFonts w:ascii="Bookman Old Style" w:hAnsi="Bookman Old Style"/>
          <w:kern w:val="0"/>
          <w:sz w:val="28"/>
          <w:szCs w:val="28"/>
          <w:lang w:val="el-GR" w:bidi="en-US"/>
          <w14:ligatures w14:val="none"/>
        </w:rPr>
        <w:t xml:space="preserve"> άρχισαν κύκλο διαβουλεύσεων και συνομιλιών με σκοπό την επίτευξη εξώδικης συμφωνίας για την εκκαθάριση της </w:t>
      </w:r>
      <w:r w:rsidR="00C72000">
        <w:rPr>
          <w:rStyle w:val="BodyTextChar"/>
          <w:rFonts w:ascii="Bookman Old Style" w:hAnsi="Bookman Old Style"/>
          <w:kern w:val="0"/>
          <w:sz w:val="28"/>
          <w:szCs w:val="28"/>
          <w:lang w:bidi="en-US"/>
          <w14:ligatures w14:val="none"/>
        </w:rPr>
        <w:t>FBME</w:t>
      </w:r>
      <w:r w:rsidR="00C72000">
        <w:rPr>
          <w:rStyle w:val="BodyTextChar"/>
          <w:rFonts w:ascii="Bookman Old Style" w:hAnsi="Bookman Old Style"/>
          <w:kern w:val="0"/>
          <w:sz w:val="28"/>
          <w:szCs w:val="28"/>
          <w:lang w:val="el-GR" w:bidi="en-US"/>
          <w14:ligatures w14:val="none"/>
        </w:rPr>
        <w:t xml:space="preserve">.  Παρά τις διαφωνίες των </w:t>
      </w:r>
      <w:r w:rsidR="008B7D05">
        <w:rPr>
          <w:rStyle w:val="BodyTextChar"/>
          <w:rFonts w:ascii="Bookman Old Style" w:hAnsi="Bookman Old Style"/>
          <w:kern w:val="0"/>
          <w:sz w:val="28"/>
          <w:szCs w:val="28"/>
          <w:lang w:val="el-GR" w:bidi="en-US"/>
          <w14:ligatures w14:val="none"/>
        </w:rPr>
        <w:t>α</w:t>
      </w:r>
      <w:r w:rsidR="00C72000">
        <w:rPr>
          <w:rStyle w:val="BodyTextChar"/>
          <w:rFonts w:ascii="Bookman Old Style" w:hAnsi="Bookman Old Style"/>
          <w:kern w:val="0"/>
          <w:sz w:val="28"/>
          <w:szCs w:val="28"/>
          <w:lang w:val="el-GR" w:bidi="en-US"/>
          <w14:ligatures w14:val="none"/>
        </w:rPr>
        <w:t xml:space="preserve">ιτητών της παρούσας διαδικασίας, στις 12.12.2022 η Κεντρική Τράπεζα της Κύπρου και το </w:t>
      </w:r>
      <w:r w:rsidR="00C72000">
        <w:rPr>
          <w:rStyle w:val="BodyTextChar"/>
          <w:rFonts w:ascii="Bookman Old Style" w:hAnsi="Bookman Old Style"/>
          <w:kern w:val="0"/>
          <w:sz w:val="28"/>
          <w:szCs w:val="28"/>
          <w:lang w:bidi="en-US"/>
          <w14:ligatures w14:val="none"/>
        </w:rPr>
        <w:t>DIB</w:t>
      </w:r>
      <w:r w:rsidR="00C72000">
        <w:rPr>
          <w:rStyle w:val="BodyTextChar"/>
          <w:rFonts w:ascii="Bookman Old Style" w:hAnsi="Bookman Old Style"/>
          <w:kern w:val="0"/>
          <w:sz w:val="28"/>
          <w:szCs w:val="28"/>
          <w:lang w:val="el-GR" w:bidi="en-US"/>
          <w14:ligatures w14:val="none"/>
        </w:rPr>
        <w:t xml:space="preserve"> </w:t>
      </w:r>
      <w:r w:rsidR="00657B2C">
        <w:rPr>
          <w:rStyle w:val="BodyTextChar"/>
          <w:rFonts w:ascii="Bookman Old Style" w:hAnsi="Bookman Old Style"/>
          <w:kern w:val="0"/>
          <w:sz w:val="28"/>
          <w:szCs w:val="28"/>
          <w:lang w:val="el-GR" w:bidi="en-US"/>
          <w14:ligatures w14:val="none"/>
        </w:rPr>
        <w:t xml:space="preserve">υπέγραψαν μεταξύ τους </w:t>
      </w:r>
      <w:r w:rsidR="000251E7">
        <w:rPr>
          <w:rStyle w:val="BodyTextChar"/>
          <w:rFonts w:ascii="Bookman Old Style" w:hAnsi="Bookman Old Style"/>
          <w:kern w:val="0"/>
          <w:sz w:val="28"/>
          <w:szCs w:val="28"/>
          <w:lang w:val="el-GR" w:bidi="en-US"/>
          <w14:ligatures w14:val="none"/>
        </w:rPr>
        <w:t xml:space="preserve">συμφωνία, </w:t>
      </w:r>
      <w:r w:rsidR="005173B1">
        <w:rPr>
          <w:rStyle w:val="BodyTextChar"/>
          <w:rFonts w:ascii="Bookman Old Style" w:hAnsi="Bookman Old Style"/>
          <w:kern w:val="0"/>
          <w:sz w:val="28"/>
          <w:szCs w:val="28"/>
          <w:lang w:val="el-GR" w:bidi="en-US"/>
          <w14:ligatures w14:val="none"/>
        </w:rPr>
        <w:t xml:space="preserve">την οποία, </w:t>
      </w:r>
      <w:r w:rsidR="00842DF5">
        <w:rPr>
          <w:rStyle w:val="BodyTextChar"/>
          <w:rFonts w:ascii="Bookman Old Style" w:hAnsi="Bookman Old Style"/>
          <w:kern w:val="0"/>
          <w:sz w:val="28"/>
          <w:szCs w:val="28"/>
          <w:lang w:val="el-GR" w:bidi="en-US"/>
          <w14:ligatures w14:val="none"/>
        </w:rPr>
        <w:t xml:space="preserve">μετά από οδηγίες του Δικαστηρίου </w:t>
      </w:r>
      <w:r w:rsidR="005173B1">
        <w:rPr>
          <w:rStyle w:val="BodyTextChar"/>
          <w:rFonts w:ascii="Bookman Old Style" w:hAnsi="Bookman Old Style"/>
          <w:kern w:val="0"/>
          <w:sz w:val="28"/>
          <w:szCs w:val="28"/>
          <w:lang w:val="el-GR" w:bidi="en-US"/>
          <w14:ligatures w14:val="none"/>
        </w:rPr>
        <w:t xml:space="preserve">παρουσίασαν </w:t>
      </w:r>
      <w:r w:rsidR="008B7D05">
        <w:rPr>
          <w:rStyle w:val="BodyTextChar"/>
          <w:rFonts w:ascii="Bookman Old Style" w:hAnsi="Bookman Old Style"/>
          <w:kern w:val="0"/>
          <w:sz w:val="28"/>
          <w:szCs w:val="28"/>
          <w:lang w:val="el-GR" w:bidi="en-US"/>
          <w14:ligatures w14:val="none"/>
        </w:rPr>
        <w:t>ενώπιων του</w:t>
      </w:r>
      <w:r w:rsidR="000251E7">
        <w:rPr>
          <w:rStyle w:val="BodyTextChar"/>
          <w:rFonts w:ascii="Bookman Old Style" w:hAnsi="Bookman Old Style"/>
          <w:kern w:val="0"/>
          <w:sz w:val="28"/>
          <w:szCs w:val="28"/>
          <w:lang w:val="el-GR" w:bidi="en-US"/>
          <w14:ligatures w14:val="none"/>
        </w:rPr>
        <w:t>. Το Δικαστήριο,</w:t>
      </w:r>
      <w:r w:rsidR="000116F1">
        <w:rPr>
          <w:rStyle w:val="BodyTextChar"/>
          <w:rFonts w:ascii="Bookman Old Style" w:hAnsi="Bookman Old Style"/>
          <w:kern w:val="0"/>
          <w:sz w:val="28"/>
          <w:szCs w:val="28"/>
          <w:lang w:val="el-GR" w:bidi="en-US"/>
          <w14:ligatures w14:val="none"/>
        </w:rPr>
        <w:t xml:space="preserve"> στις 05.01.2023, </w:t>
      </w:r>
      <w:r w:rsidR="008B7D05">
        <w:rPr>
          <w:rStyle w:val="BodyTextChar"/>
          <w:rFonts w:ascii="Bookman Old Style" w:hAnsi="Bookman Old Style"/>
          <w:kern w:val="0"/>
          <w:sz w:val="28"/>
          <w:szCs w:val="28"/>
          <w:lang w:val="el-GR" w:bidi="en-US"/>
          <w14:ligatures w14:val="none"/>
        </w:rPr>
        <w:t>παρά τις ενστάσεις των αιτητών στην παρούσα, ενέκρινε την κατάθεσ</w:t>
      </w:r>
      <w:r w:rsidR="00842DF5">
        <w:rPr>
          <w:rStyle w:val="BodyTextChar"/>
          <w:rFonts w:ascii="Bookman Old Style" w:hAnsi="Bookman Old Style"/>
          <w:kern w:val="0"/>
          <w:sz w:val="28"/>
          <w:szCs w:val="28"/>
          <w:lang w:val="el-GR" w:bidi="en-US"/>
          <w14:ligatures w14:val="none"/>
        </w:rPr>
        <w:t>η</w:t>
      </w:r>
      <w:r w:rsidR="008B7D05">
        <w:rPr>
          <w:rStyle w:val="BodyTextChar"/>
          <w:rFonts w:ascii="Bookman Old Style" w:hAnsi="Bookman Old Style"/>
          <w:kern w:val="0"/>
          <w:sz w:val="28"/>
          <w:szCs w:val="28"/>
          <w:lang w:val="el-GR" w:bidi="en-US"/>
          <w14:ligatures w14:val="none"/>
        </w:rPr>
        <w:t xml:space="preserve"> της </w:t>
      </w:r>
      <w:r w:rsidR="000251E7">
        <w:rPr>
          <w:rStyle w:val="BodyTextChar"/>
          <w:rFonts w:ascii="Bookman Old Style" w:hAnsi="Bookman Old Style"/>
          <w:kern w:val="0"/>
          <w:sz w:val="28"/>
          <w:szCs w:val="28"/>
          <w:lang w:val="el-GR" w:bidi="en-US"/>
          <w14:ligatures w14:val="none"/>
        </w:rPr>
        <w:t xml:space="preserve">ως άνω συμφωνίας </w:t>
      </w:r>
      <w:r w:rsidR="008B7D05">
        <w:rPr>
          <w:rStyle w:val="BodyTextChar"/>
          <w:rFonts w:ascii="Bookman Old Style" w:hAnsi="Bookman Old Style"/>
          <w:kern w:val="0"/>
          <w:sz w:val="28"/>
          <w:szCs w:val="28"/>
          <w:lang w:val="el-GR" w:bidi="en-US"/>
          <w14:ligatures w14:val="none"/>
        </w:rPr>
        <w:t>ως τεκμήριο στ</w:t>
      </w:r>
      <w:r w:rsidR="00842DF5">
        <w:rPr>
          <w:rStyle w:val="BodyTextChar"/>
          <w:rFonts w:ascii="Bookman Old Style" w:hAnsi="Bookman Old Style"/>
          <w:kern w:val="0"/>
          <w:sz w:val="28"/>
          <w:szCs w:val="28"/>
          <w:lang w:val="el-GR" w:bidi="en-US"/>
          <w14:ligatures w14:val="none"/>
        </w:rPr>
        <w:t xml:space="preserve">α πλαίσια των Αιτήσεων αρ. 373/2017 και 123/2019, με την Κεντρική Τράπεζα της Κύπρου και το </w:t>
      </w:r>
      <w:r w:rsidR="00842DF5">
        <w:rPr>
          <w:rStyle w:val="BodyTextChar"/>
          <w:rFonts w:ascii="Bookman Old Style" w:hAnsi="Bookman Old Style"/>
          <w:kern w:val="0"/>
          <w:sz w:val="28"/>
          <w:szCs w:val="28"/>
          <w:lang w:bidi="en-US"/>
          <w14:ligatures w14:val="none"/>
        </w:rPr>
        <w:t>DIB</w:t>
      </w:r>
      <w:r w:rsidR="00842DF5">
        <w:rPr>
          <w:rStyle w:val="BodyTextChar"/>
          <w:rFonts w:ascii="Bookman Old Style" w:hAnsi="Bookman Old Style"/>
          <w:kern w:val="0"/>
          <w:sz w:val="28"/>
          <w:szCs w:val="28"/>
          <w:lang w:val="el-GR" w:bidi="en-US"/>
          <w14:ligatures w14:val="none"/>
        </w:rPr>
        <w:t xml:space="preserve"> να δηλώνουν ταυτόχρονα ότι πρόθεση τους ήταν να αποσυρθούν </w:t>
      </w:r>
      <w:r w:rsidR="00CD350C">
        <w:rPr>
          <w:rStyle w:val="BodyTextChar"/>
          <w:rFonts w:ascii="Bookman Old Style" w:hAnsi="Bookman Old Style"/>
          <w:kern w:val="0"/>
          <w:sz w:val="28"/>
          <w:szCs w:val="28"/>
          <w:lang w:val="el-GR" w:bidi="en-US"/>
          <w14:ligatures w14:val="none"/>
        </w:rPr>
        <w:t xml:space="preserve">εκατέρωθεν </w:t>
      </w:r>
      <w:r w:rsidR="00842DF5">
        <w:rPr>
          <w:rStyle w:val="BodyTextChar"/>
          <w:rFonts w:ascii="Bookman Old Style" w:hAnsi="Bookman Old Style"/>
          <w:kern w:val="0"/>
          <w:sz w:val="28"/>
          <w:szCs w:val="28"/>
          <w:lang w:val="el-GR" w:bidi="en-US"/>
          <w14:ligatures w14:val="none"/>
        </w:rPr>
        <w:t xml:space="preserve">οι ενστάσεις τους στις αιτήσεις 373/2017 και 123/2019 και ότι σε περίπτωση που εγκρινόταν οποιαδήποτε από τις ως άνω αιτήσεις, τότε θα αιτούνταν όπως η συμφωνία γινόταν </w:t>
      </w:r>
      <w:r w:rsidR="000251E7">
        <w:rPr>
          <w:rStyle w:val="BodyTextChar"/>
          <w:rFonts w:ascii="Bookman Old Style" w:hAnsi="Bookman Old Style"/>
          <w:kern w:val="0"/>
          <w:sz w:val="28"/>
          <w:szCs w:val="28"/>
          <w:lang w:val="el-GR" w:bidi="en-US"/>
          <w14:ligatures w14:val="none"/>
        </w:rPr>
        <w:t>Κ</w:t>
      </w:r>
      <w:r w:rsidR="00842DF5">
        <w:rPr>
          <w:rStyle w:val="BodyTextChar"/>
          <w:rFonts w:ascii="Bookman Old Style" w:hAnsi="Bookman Old Style"/>
          <w:kern w:val="0"/>
          <w:sz w:val="28"/>
          <w:szCs w:val="28"/>
          <w:lang w:val="el-GR" w:bidi="en-US"/>
          <w14:ligatures w14:val="none"/>
        </w:rPr>
        <w:t>ανόνας Δικαστηρίου. Εγκρίνοντας την κατάθεση της ως άνω συμφωνίας, το Δικαστήριο υπέδειξε ότι οποιαδήποτε απόφαση του δεν θα στηριχθεί σε αυτήν αλλά εντός των πλαισίων των καταχωρημένων αιτήσεων</w:t>
      </w:r>
      <w:r w:rsidR="00540240">
        <w:rPr>
          <w:rStyle w:val="BodyTextChar"/>
          <w:rFonts w:ascii="Bookman Old Style" w:hAnsi="Bookman Old Style"/>
          <w:kern w:val="0"/>
          <w:sz w:val="28"/>
          <w:szCs w:val="28"/>
          <w:lang w:val="el-GR" w:bidi="en-US"/>
          <w14:ligatures w14:val="none"/>
        </w:rPr>
        <w:t xml:space="preserve">. </w:t>
      </w:r>
      <w:r w:rsidR="00E7348B" w:rsidRPr="00E7348B">
        <w:rPr>
          <w:rStyle w:val="BodyTextChar"/>
          <w:rFonts w:ascii="Bookman Old Style" w:hAnsi="Bookman Old Style"/>
          <w:kern w:val="0"/>
          <w:sz w:val="28"/>
          <w:szCs w:val="28"/>
          <w:lang w:val="el-GR" w:bidi="en-US"/>
          <w14:ligatures w14:val="none"/>
        </w:rPr>
        <w:t>Στις 10</w:t>
      </w:r>
      <w:r w:rsidR="00E7348B">
        <w:rPr>
          <w:rStyle w:val="BodyTextChar"/>
          <w:rFonts w:ascii="Bookman Old Style" w:hAnsi="Bookman Old Style"/>
          <w:kern w:val="0"/>
          <w:sz w:val="28"/>
          <w:szCs w:val="28"/>
          <w:lang w:val="el-GR" w:bidi="en-US"/>
          <w14:ligatures w14:val="none"/>
        </w:rPr>
        <w:t xml:space="preserve">.01.2023, άρχισε τελικά η ακρόαση της Αίτησης αρ. 123/2019, ενώ </w:t>
      </w:r>
      <w:r w:rsidR="000251E7">
        <w:rPr>
          <w:rStyle w:val="BodyTextChar"/>
          <w:rFonts w:ascii="Bookman Old Style" w:hAnsi="Bookman Old Style"/>
          <w:kern w:val="0"/>
          <w:sz w:val="28"/>
          <w:szCs w:val="28"/>
          <w:lang w:val="el-GR" w:bidi="en-US"/>
          <w14:ligatures w14:val="none"/>
        </w:rPr>
        <w:t xml:space="preserve">στις </w:t>
      </w:r>
      <w:r w:rsidR="006B4784">
        <w:rPr>
          <w:rStyle w:val="BodyTextChar"/>
          <w:rFonts w:ascii="Bookman Old Style" w:hAnsi="Bookman Old Style"/>
          <w:kern w:val="0"/>
          <w:sz w:val="28"/>
          <w:szCs w:val="28"/>
          <w:lang w:val="el-GR" w:bidi="en-US"/>
          <w14:ligatures w14:val="none"/>
        </w:rPr>
        <w:t>29.</w:t>
      </w:r>
      <w:r w:rsidR="00F0095D">
        <w:rPr>
          <w:rStyle w:val="BodyTextChar"/>
          <w:rFonts w:ascii="Bookman Old Style" w:hAnsi="Bookman Old Style"/>
          <w:kern w:val="0"/>
          <w:sz w:val="28"/>
          <w:szCs w:val="28"/>
          <w:lang w:val="el-GR" w:bidi="en-US"/>
          <w14:ligatures w14:val="none"/>
        </w:rPr>
        <w:t>0</w:t>
      </w:r>
      <w:r w:rsidR="006B4784">
        <w:rPr>
          <w:rStyle w:val="BodyTextChar"/>
          <w:rFonts w:ascii="Bookman Old Style" w:hAnsi="Bookman Old Style"/>
          <w:kern w:val="0"/>
          <w:sz w:val="28"/>
          <w:szCs w:val="28"/>
          <w:lang w:val="el-GR" w:bidi="en-US"/>
          <w14:ligatures w14:val="none"/>
        </w:rPr>
        <w:t>6.2023</w:t>
      </w:r>
      <w:r w:rsidR="00F0095D">
        <w:rPr>
          <w:rStyle w:val="BodyTextChar"/>
          <w:rFonts w:ascii="Bookman Old Style" w:hAnsi="Bookman Old Style"/>
          <w:kern w:val="0"/>
          <w:sz w:val="28"/>
          <w:szCs w:val="28"/>
          <w:lang w:val="el-GR" w:bidi="en-US"/>
          <w14:ligatures w14:val="none"/>
        </w:rPr>
        <w:t>,</w:t>
      </w:r>
      <w:r w:rsidR="006B4784">
        <w:rPr>
          <w:rStyle w:val="BodyTextChar"/>
          <w:rFonts w:ascii="Bookman Old Style" w:hAnsi="Bookman Old Style"/>
          <w:kern w:val="0"/>
          <w:sz w:val="28"/>
          <w:szCs w:val="28"/>
          <w:lang w:val="el-GR" w:bidi="en-US"/>
          <w14:ligatures w14:val="none"/>
        </w:rPr>
        <w:t xml:space="preserve"> το Δικαστήριο εξέδωσε την απόφαση του</w:t>
      </w:r>
      <w:r w:rsidR="00E7348B">
        <w:rPr>
          <w:rStyle w:val="BodyTextChar"/>
          <w:rFonts w:ascii="Bookman Old Style" w:hAnsi="Bookman Old Style"/>
          <w:kern w:val="0"/>
          <w:sz w:val="28"/>
          <w:szCs w:val="28"/>
          <w:lang w:val="el-GR" w:bidi="en-US"/>
          <w14:ligatures w14:val="none"/>
        </w:rPr>
        <w:t>,</w:t>
      </w:r>
      <w:r w:rsidR="006B4784">
        <w:rPr>
          <w:rStyle w:val="BodyTextChar"/>
          <w:rFonts w:ascii="Bookman Old Style" w:hAnsi="Bookman Old Style"/>
          <w:kern w:val="0"/>
          <w:sz w:val="28"/>
          <w:szCs w:val="28"/>
          <w:lang w:val="el-GR" w:bidi="en-US"/>
          <w14:ligatures w14:val="none"/>
        </w:rPr>
        <w:t xml:space="preserve"> εγκρίνοντας την ως άνω αίτηση</w:t>
      </w:r>
      <w:r w:rsidR="005F7E99">
        <w:rPr>
          <w:rStyle w:val="BodyTextChar"/>
          <w:rFonts w:ascii="Bookman Old Style" w:hAnsi="Bookman Old Style"/>
          <w:kern w:val="0"/>
          <w:sz w:val="28"/>
          <w:szCs w:val="28"/>
          <w:lang w:val="el-GR" w:bidi="en-US"/>
          <w14:ligatures w14:val="none"/>
        </w:rPr>
        <w:t xml:space="preserve"> εκκαθάρισης</w:t>
      </w:r>
      <w:r w:rsidR="006B4784">
        <w:rPr>
          <w:rStyle w:val="BodyTextChar"/>
          <w:rFonts w:ascii="Bookman Old Style" w:hAnsi="Bookman Old Style"/>
          <w:kern w:val="0"/>
          <w:sz w:val="28"/>
          <w:szCs w:val="28"/>
          <w:lang w:val="el-GR" w:bidi="en-US"/>
          <w14:ligatures w14:val="none"/>
        </w:rPr>
        <w:t xml:space="preserve">.  </w:t>
      </w:r>
    </w:p>
    <w:p w14:paraId="7C91198E" w14:textId="77777777" w:rsidR="0027383B" w:rsidRPr="00F75AB7" w:rsidRDefault="0027383B" w:rsidP="00F75AB7">
      <w:pPr>
        <w:pStyle w:val="BodyText"/>
        <w:tabs>
          <w:tab w:val="left" w:pos="567"/>
        </w:tabs>
        <w:spacing w:after="0" w:line="240" w:lineRule="auto"/>
        <w:jc w:val="both"/>
        <w:rPr>
          <w:rStyle w:val="BodyTextChar"/>
          <w:rFonts w:ascii="Bookman Old Style" w:hAnsi="Bookman Old Style"/>
          <w:kern w:val="0"/>
          <w:sz w:val="28"/>
          <w:szCs w:val="28"/>
          <w:lang w:bidi="en-US"/>
          <w14:ligatures w14:val="none"/>
        </w:rPr>
      </w:pPr>
    </w:p>
    <w:p w14:paraId="5963E5E5" w14:textId="37E7CDB6" w:rsidR="00E7348B" w:rsidRDefault="00F75AB7" w:rsidP="0027383B">
      <w:pPr>
        <w:pStyle w:val="BodyText"/>
        <w:tabs>
          <w:tab w:val="left" w:pos="567"/>
        </w:tabs>
        <w:spacing w:after="0" w:line="48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kern w:val="0"/>
          <w:sz w:val="28"/>
          <w:szCs w:val="28"/>
          <w:lang w:val="el-GR" w:bidi="en-US"/>
          <w14:ligatures w14:val="none"/>
        </w:rPr>
        <w:tab/>
      </w:r>
      <w:r w:rsidR="0027383B">
        <w:rPr>
          <w:rStyle w:val="BodyTextChar"/>
          <w:rFonts w:ascii="Bookman Old Style" w:hAnsi="Bookman Old Style"/>
          <w:kern w:val="0"/>
          <w:sz w:val="28"/>
          <w:szCs w:val="28"/>
          <w:lang w:val="el-GR" w:bidi="en-US"/>
          <w14:ligatures w14:val="none"/>
        </w:rPr>
        <w:t>Ως έχει ήδη σημειωθεί, αντικείμενο της υπό συζήτηση Αίτησης είναι η ως άνω απόφαση</w:t>
      </w:r>
      <w:r w:rsidR="005173B1">
        <w:rPr>
          <w:rStyle w:val="BodyTextChar"/>
          <w:rFonts w:ascii="Bookman Old Style" w:hAnsi="Bookman Old Style"/>
          <w:kern w:val="0"/>
          <w:sz w:val="28"/>
          <w:szCs w:val="28"/>
          <w:lang w:val="el-GR" w:bidi="en-US"/>
          <w14:ligatures w14:val="none"/>
        </w:rPr>
        <w:t>,</w:t>
      </w:r>
      <w:r w:rsidR="0027383B">
        <w:rPr>
          <w:rStyle w:val="BodyTextChar"/>
          <w:rFonts w:ascii="Bookman Old Style" w:hAnsi="Bookman Old Style"/>
          <w:kern w:val="0"/>
          <w:sz w:val="28"/>
          <w:szCs w:val="28"/>
          <w:lang w:val="el-GR" w:bidi="en-US"/>
          <w14:ligatures w14:val="none"/>
        </w:rPr>
        <w:t xml:space="preserve"> ημερομηνίας 29.</w:t>
      </w:r>
      <w:r w:rsidR="00022F05">
        <w:rPr>
          <w:rStyle w:val="BodyTextChar"/>
          <w:rFonts w:ascii="Bookman Old Style" w:hAnsi="Bookman Old Style"/>
          <w:kern w:val="0"/>
          <w:sz w:val="28"/>
          <w:szCs w:val="28"/>
          <w:lang w:val="el-GR" w:bidi="en-US"/>
          <w14:ligatures w14:val="none"/>
        </w:rPr>
        <w:t>0</w:t>
      </w:r>
      <w:r w:rsidR="0027383B">
        <w:rPr>
          <w:rStyle w:val="BodyTextChar"/>
          <w:rFonts w:ascii="Bookman Old Style" w:hAnsi="Bookman Old Style"/>
          <w:kern w:val="0"/>
          <w:sz w:val="28"/>
          <w:szCs w:val="28"/>
          <w:lang w:val="el-GR" w:bidi="en-US"/>
          <w14:ligatures w14:val="none"/>
        </w:rPr>
        <w:t xml:space="preserve">6.2023 και το </w:t>
      </w:r>
      <w:r w:rsidR="00E7348B">
        <w:rPr>
          <w:rStyle w:val="BodyTextChar"/>
          <w:rFonts w:ascii="Bookman Old Style" w:hAnsi="Bookman Old Style"/>
          <w:kern w:val="0"/>
          <w:sz w:val="28"/>
          <w:szCs w:val="28"/>
          <w:lang w:val="el-GR" w:bidi="en-US"/>
          <w14:ligatures w14:val="none"/>
        </w:rPr>
        <w:t xml:space="preserve">σχετικό </w:t>
      </w:r>
      <w:r w:rsidR="0027383B">
        <w:rPr>
          <w:rStyle w:val="BodyTextChar"/>
          <w:rFonts w:ascii="Bookman Old Style" w:hAnsi="Bookman Old Style"/>
          <w:kern w:val="0"/>
          <w:sz w:val="28"/>
          <w:szCs w:val="28"/>
          <w:lang w:val="el-GR" w:bidi="en-US"/>
          <w14:ligatures w14:val="none"/>
        </w:rPr>
        <w:t xml:space="preserve">συντεταγμένο διάταγμα </w:t>
      </w:r>
      <w:r w:rsidR="00E7348B">
        <w:rPr>
          <w:rStyle w:val="BodyTextChar"/>
          <w:rFonts w:ascii="Bookman Old Style" w:hAnsi="Bookman Old Style"/>
          <w:kern w:val="0"/>
          <w:sz w:val="28"/>
          <w:szCs w:val="28"/>
          <w:lang w:val="el-GR" w:bidi="en-US"/>
          <w14:ligatures w14:val="none"/>
        </w:rPr>
        <w:t>(</w:t>
      </w:r>
      <w:r w:rsidR="00E7348B">
        <w:rPr>
          <w:rStyle w:val="BodyTextChar"/>
          <w:rFonts w:ascii="Bookman Old Style" w:hAnsi="Bookman Old Style"/>
          <w:kern w:val="0"/>
          <w:sz w:val="28"/>
          <w:szCs w:val="28"/>
          <w:lang w:val="en-GB" w:bidi="en-US"/>
          <w14:ligatures w14:val="none"/>
        </w:rPr>
        <w:t>drown</w:t>
      </w:r>
      <w:r w:rsidR="00E7348B" w:rsidRPr="00E7348B">
        <w:rPr>
          <w:rStyle w:val="BodyTextChar"/>
          <w:rFonts w:ascii="Bookman Old Style" w:hAnsi="Bookman Old Style"/>
          <w:kern w:val="0"/>
          <w:sz w:val="28"/>
          <w:szCs w:val="28"/>
          <w:lang w:val="el-GR" w:bidi="en-US"/>
          <w14:ligatures w14:val="none"/>
        </w:rPr>
        <w:t xml:space="preserve"> </w:t>
      </w:r>
      <w:r w:rsidR="00E7348B">
        <w:rPr>
          <w:rStyle w:val="BodyTextChar"/>
          <w:rFonts w:ascii="Bookman Old Style" w:hAnsi="Bookman Old Style"/>
          <w:kern w:val="0"/>
          <w:sz w:val="28"/>
          <w:szCs w:val="28"/>
          <w:lang w:val="en-GB" w:bidi="en-US"/>
          <w14:ligatures w14:val="none"/>
        </w:rPr>
        <w:t>up</w:t>
      </w:r>
      <w:r w:rsidR="00E7348B" w:rsidRPr="00E7348B">
        <w:rPr>
          <w:rStyle w:val="BodyTextChar"/>
          <w:rFonts w:ascii="Bookman Old Style" w:hAnsi="Bookman Old Style"/>
          <w:kern w:val="0"/>
          <w:sz w:val="28"/>
          <w:szCs w:val="28"/>
          <w:lang w:val="el-GR" w:bidi="en-US"/>
          <w14:ligatures w14:val="none"/>
        </w:rPr>
        <w:t xml:space="preserve"> </w:t>
      </w:r>
      <w:r w:rsidR="00E7348B">
        <w:rPr>
          <w:rStyle w:val="BodyTextChar"/>
          <w:rFonts w:ascii="Bookman Old Style" w:hAnsi="Bookman Old Style"/>
          <w:kern w:val="0"/>
          <w:sz w:val="28"/>
          <w:szCs w:val="28"/>
          <w:lang w:val="en-GB" w:bidi="en-US"/>
          <w14:ligatures w14:val="none"/>
        </w:rPr>
        <w:t>order</w:t>
      </w:r>
      <w:r w:rsidR="00E7348B">
        <w:rPr>
          <w:rStyle w:val="BodyTextChar"/>
          <w:rFonts w:ascii="Bookman Old Style" w:hAnsi="Bookman Old Style"/>
          <w:kern w:val="0"/>
          <w:sz w:val="28"/>
          <w:szCs w:val="28"/>
          <w:lang w:val="el-GR" w:bidi="en-US"/>
          <w14:ligatures w14:val="none"/>
        </w:rPr>
        <w:t xml:space="preserve">) </w:t>
      </w:r>
      <w:r w:rsidR="0027383B">
        <w:rPr>
          <w:rStyle w:val="BodyTextChar"/>
          <w:rFonts w:ascii="Bookman Old Style" w:hAnsi="Bookman Old Style"/>
          <w:kern w:val="0"/>
          <w:sz w:val="28"/>
          <w:szCs w:val="28"/>
          <w:lang w:val="el-GR" w:bidi="en-US"/>
          <w14:ligatures w14:val="none"/>
        </w:rPr>
        <w:t>που εκδόθηκε την ίδια ημερομηνία</w:t>
      </w:r>
      <w:r w:rsidR="00E7348B">
        <w:rPr>
          <w:rStyle w:val="BodyTextChar"/>
          <w:rFonts w:ascii="Bookman Old Style" w:hAnsi="Bookman Old Style"/>
          <w:kern w:val="0"/>
          <w:sz w:val="28"/>
          <w:szCs w:val="28"/>
          <w:lang w:val="el-GR" w:bidi="en-US"/>
          <w14:ligatures w14:val="none"/>
        </w:rPr>
        <w:t>,</w:t>
      </w:r>
      <w:r w:rsidR="0027383B">
        <w:rPr>
          <w:rStyle w:val="BodyTextChar"/>
          <w:rFonts w:ascii="Bookman Old Style" w:hAnsi="Bookman Old Style"/>
          <w:kern w:val="0"/>
          <w:sz w:val="28"/>
          <w:szCs w:val="28"/>
          <w:lang w:val="el-GR" w:bidi="en-US"/>
          <w14:ligatures w14:val="none"/>
        </w:rPr>
        <w:t xml:space="preserve"> στα πλαίσια της Αίτησης αρ. 123/2019. </w:t>
      </w:r>
    </w:p>
    <w:p w14:paraId="4E8DCEFC" w14:textId="07120559" w:rsidR="0027383B" w:rsidRPr="00F75AB7" w:rsidRDefault="0027383B" w:rsidP="00F75AB7">
      <w:pPr>
        <w:pStyle w:val="BodyText"/>
        <w:tabs>
          <w:tab w:val="left" w:pos="567"/>
        </w:tabs>
        <w:spacing w:after="0" w:line="240" w:lineRule="auto"/>
        <w:jc w:val="both"/>
        <w:rPr>
          <w:rStyle w:val="BodyTextChar"/>
          <w:rFonts w:ascii="Bookman Old Style" w:hAnsi="Bookman Old Style"/>
          <w:kern w:val="0"/>
          <w:sz w:val="28"/>
          <w:szCs w:val="28"/>
          <w:lang w:bidi="en-US"/>
          <w14:ligatures w14:val="none"/>
        </w:rPr>
      </w:pPr>
      <w:r>
        <w:rPr>
          <w:rStyle w:val="BodyTextChar"/>
          <w:rFonts w:ascii="Bookman Old Style" w:hAnsi="Bookman Old Style"/>
          <w:kern w:val="0"/>
          <w:sz w:val="28"/>
          <w:szCs w:val="28"/>
          <w:lang w:val="el-GR" w:bidi="en-US"/>
          <w14:ligatures w14:val="none"/>
        </w:rPr>
        <w:t xml:space="preserve"> </w:t>
      </w:r>
    </w:p>
    <w:p w14:paraId="55D22032" w14:textId="47C8AA51" w:rsidR="00E7348B" w:rsidRDefault="00F75AB7" w:rsidP="00E7348B">
      <w:pPr>
        <w:pStyle w:val="BodyText"/>
        <w:tabs>
          <w:tab w:val="left" w:pos="567"/>
        </w:tabs>
        <w:spacing w:after="0" w:line="48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kern w:val="0"/>
          <w:sz w:val="28"/>
          <w:szCs w:val="28"/>
          <w:lang w:val="el-GR" w:bidi="en-US"/>
          <w14:ligatures w14:val="none"/>
        </w:rPr>
        <w:tab/>
      </w:r>
      <w:r w:rsidR="00E7348B">
        <w:rPr>
          <w:rStyle w:val="BodyTextChar"/>
          <w:rFonts w:ascii="Bookman Old Style" w:hAnsi="Bookman Old Style"/>
          <w:kern w:val="0"/>
          <w:sz w:val="28"/>
          <w:szCs w:val="28"/>
          <w:lang w:val="el-GR" w:bidi="en-US"/>
          <w14:ligatures w14:val="none"/>
        </w:rPr>
        <w:t>Ως ειδικότερα προκρίνεται στη σχετική Έκθεση</w:t>
      </w:r>
      <w:r w:rsidR="00B35AF1">
        <w:rPr>
          <w:rStyle w:val="BodyTextChar"/>
          <w:rFonts w:ascii="Bookman Old Style" w:hAnsi="Bookman Old Style"/>
          <w:kern w:val="0"/>
          <w:sz w:val="28"/>
          <w:szCs w:val="28"/>
          <w:lang w:val="el-GR" w:bidi="en-US"/>
          <w14:ligatures w14:val="none"/>
        </w:rPr>
        <w:t xml:space="preserve"> που συνοδεύει την υπό συζήτηση αίτηση</w:t>
      </w:r>
      <w:r w:rsidR="00E7348B" w:rsidRPr="00E7348B">
        <w:rPr>
          <w:rStyle w:val="BodyTextChar"/>
          <w:rFonts w:ascii="Bookman Old Style" w:hAnsi="Bookman Old Style"/>
          <w:kern w:val="0"/>
          <w:sz w:val="28"/>
          <w:szCs w:val="28"/>
          <w:lang w:val="el-GR" w:bidi="en-US"/>
          <w14:ligatures w14:val="none"/>
        </w:rPr>
        <w:t>:</w:t>
      </w:r>
    </w:p>
    <w:p w14:paraId="5E7D435A" w14:textId="3C835027" w:rsidR="0098687C" w:rsidRPr="001B38FF" w:rsidRDefault="00E7348B" w:rsidP="00F75AB7">
      <w:pPr>
        <w:pStyle w:val="BodyText"/>
        <w:tabs>
          <w:tab w:val="left" w:pos="523"/>
        </w:tabs>
        <w:spacing w:before="240" w:line="240" w:lineRule="auto"/>
        <w:ind w:left="567"/>
        <w:jc w:val="both"/>
        <w:rPr>
          <w:rFonts w:ascii="Bookman Old Style" w:hAnsi="Bookman Old Style"/>
          <w:sz w:val="24"/>
          <w:szCs w:val="24"/>
          <w:lang w:val="el-GR"/>
        </w:rPr>
      </w:pPr>
      <w:r>
        <w:rPr>
          <w:rStyle w:val="BodyTextChar"/>
          <w:rFonts w:ascii="Bookman Old Style" w:hAnsi="Bookman Old Style"/>
          <w:sz w:val="24"/>
          <w:szCs w:val="24"/>
          <w:lang w:val="el-GR"/>
        </w:rPr>
        <w:t xml:space="preserve">«… </w:t>
      </w:r>
      <w:r w:rsidR="0098687C" w:rsidRPr="001B38FF">
        <w:rPr>
          <w:rStyle w:val="BodyTextChar"/>
          <w:rFonts w:ascii="Bookman Old Style" w:hAnsi="Bookman Old Style"/>
          <w:sz w:val="24"/>
          <w:szCs w:val="24"/>
          <w:lang w:val="el-GR"/>
        </w:rPr>
        <w:t xml:space="preserve">Η εκδοθείσα απόφαση συνιστά προϊόν έκδηλου νομικού σφάλματος και/ή προϊόν έκδηλης νομικής πλάνης και/ή το </w:t>
      </w:r>
      <w:proofErr w:type="spellStart"/>
      <w:r w:rsidR="0098687C" w:rsidRPr="001B38FF">
        <w:rPr>
          <w:rStyle w:val="BodyTextChar"/>
          <w:rFonts w:ascii="Bookman Old Style" w:hAnsi="Bookman Old Style"/>
          <w:sz w:val="24"/>
          <w:szCs w:val="24"/>
          <w:lang w:val="el-GR"/>
        </w:rPr>
        <w:t>εκδόσαν</w:t>
      </w:r>
      <w:proofErr w:type="spellEnd"/>
      <w:r w:rsidR="0098687C" w:rsidRPr="001B38FF">
        <w:rPr>
          <w:rStyle w:val="BodyTextChar"/>
          <w:rFonts w:ascii="Bookman Old Style" w:hAnsi="Bookman Old Style"/>
          <w:sz w:val="24"/>
          <w:szCs w:val="24"/>
          <w:lang w:val="el-GR"/>
        </w:rPr>
        <w:t xml:space="preserve"> την απόφαση Δικαστήριο ενήργησε καθ' υπέρβαση δικαιοδοσίας και εξουσίας εφόσον, κατ' ουσία, ενώ άκουσε την Αίτηση υπ’ αριθμό 123/2019 η οποία για να επιτύγχανε θα έπρεπε να ικανοποιούνται οι προϋποθέσεις που τίθενται από το άρθρο 33Β του περί Εργασιών Πιστωτικών ιδρυμάτων Νόμου 66(Ι)/1997 στο οποίο στηριζόταν, εξέδωσε διατάγματα μέσω των οποίων, εμμέσως, αποδέχτηκε και ενέκρινε και την Αίτηση υπ' αριθμό 373/2017 η οποία στηριζόταν επί εντελώς διαφορετικής νομικής βάσεως.</w:t>
      </w:r>
    </w:p>
    <w:p w14:paraId="250C456E" w14:textId="77777777" w:rsidR="0098687C" w:rsidRPr="001B38FF" w:rsidRDefault="0098687C" w:rsidP="00F75AB7">
      <w:pPr>
        <w:pStyle w:val="BodyText"/>
        <w:tabs>
          <w:tab w:val="left" w:pos="523"/>
        </w:tabs>
        <w:spacing w:line="240" w:lineRule="auto"/>
        <w:ind w:left="567"/>
        <w:jc w:val="both"/>
        <w:rPr>
          <w:rFonts w:ascii="Bookman Old Style" w:hAnsi="Bookman Old Style"/>
          <w:sz w:val="24"/>
          <w:szCs w:val="24"/>
          <w:lang w:val="el-GR"/>
        </w:rPr>
      </w:pPr>
      <w:r w:rsidRPr="001B38FF">
        <w:rPr>
          <w:rStyle w:val="BodyTextChar"/>
          <w:rFonts w:ascii="Bookman Old Style" w:hAnsi="Bookman Old Style"/>
          <w:sz w:val="24"/>
          <w:szCs w:val="24"/>
          <w:lang w:val="el-GR"/>
        </w:rPr>
        <w:t xml:space="preserve">Η εκδοθείσα απόφαση συνιστά προϊόν έκδηλου νομικού σφάλματος και/ή προϊόν έκδηλης νομικής πλάνης και/ή το </w:t>
      </w:r>
      <w:proofErr w:type="spellStart"/>
      <w:r w:rsidRPr="001B38FF">
        <w:rPr>
          <w:rStyle w:val="BodyTextChar"/>
          <w:rFonts w:ascii="Bookman Old Style" w:hAnsi="Bookman Old Style"/>
          <w:sz w:val="24"/>
          <w:szCs w:val="24"/>
          <w:lang w:val="el-GR"/>
        </w:rPr>
        <w:t>εκδόσαν</w:t>
      </w:r>
      <w:proofErr w:type="spellEnd"/>
      <w:r w:rsidRPr="001B38FF">
        <w:rPr>
          <w:rStyle w:val="BodyTextChar"/>
          <w:rFonts w:ascii="Bookman Old Style" w:hAnsi="Bookman Old Style"/>
          <w:sz w:val="24"/>
          <w:szCs w:val="24"/>
          <w:lang w:val="el-GR"/>
        </w:rPr>
        <w:t xml:space="preserve"> την απόφαση Δικαστήριο ενήργησε καθ' υπέρβαση δικαιοδοσίας και εξουσίας εφόσον αποδέχτηκε και ενσωμάτωσε στην απόφαση του και κατέστησε Κανόνα Δικαστηρίου και/ή εξέδωσε τα διατάγματα του με βάση τη Συμφωνία ημερομηνίας 12/12/2022, η οποία είναι παράνομη και/ή </w:t>
      </w:r>
      <w:proofErr w:type="spellStart"/>
      <w:r w:rsidRPr="001B38FF">
        <w:rPr>
          <w:rStyle w:val="BodyTextChar"/>
          <w:rFonts w:ascii="Bookman Old Style" w:hAnsi="Bookman Old Style"/>
          <w:sz w:val="24"/>
          <w:szCs w:val="24"/>
          <w:lang w:val="el-GR"/>
        </w:rPr>
        <w:t>αντινομική</w:t>
      </w:r>
      <w:proofErr w:type="spellEnd"/>
      <w:r w:rsidRPr="001B38FF">
        <w:rPr>
          <w:rStyle w:val="BodyTextChar"/>
          <w:rFonts w:ascii="Bookman Old Style" w:hAnsi="Bookman Old Style"/>
          <w:sz w:val="24"/>
          <w:szCs w:val="24"/>
          <w:lang w:val="el-GR"/>
        </w:rPr>
        <w:t xml:space="preserve"> καθότι αντιβαίνει και/ή αντίκειται και/ή είναι αντίθετη με το άρθρο 330 του περί Εργασιών Πιστωτικών Ιδρυμάτων Νόμου 66(Ι)/1997 καθώς και με το άρθρο 300 του περί Εταιρειών Νόμου Κεφ. 113, στα οποία στηριζόταν η ίδια η Αίτηση υπ’ αριθμό 123/2019 και/ή, εν πάση περιπτώσει, αντίκειται στους κανόνες και/ή τις γενικές αρχές του δικαίου των εκκαθαρίσεων.</w:t>
      </w:r>
    </w:p>
    <w:p w14:paraId="62D05AE2" w14:textId="77777777" w:rsidR="0098687C" w:rsidRPr="001B38FF" w:rsidRDefault="0098687C" w:rsidP="00F75AB7">
      <w:pPr>
        <w:pStyle w:val="BodyText"/>
        <w:tabs>
          <w:tab w:val="left" w:pos="523"/>
        </w:tabs>
        <w:spacing w:line="240" w:lineRule="auto"/>
        <w:ind w:left="567"/>
        <w:jc w:val="both"/>
        <w:rPr>
          <w:rFonts w:ascii="Bookman Old Style" w:hAnsi="Bookman Old Style"/>
          <w:sz w:val="24"/>
          <w:szCs w:val="24"/>
          <w:lang w:val="el-GR"/>
        </w:rPr>
      </w:pPr>
      <w:r w:rsidRPr="001B38FF">
        <w:rPr>
          <w:rStyle w:val="BodyTextChar"/>
          <w:rFonts w:ascii="Bookman Old Style" w:hAnsi="Bookman Old Style"/>
          <w:sz w:val="24"/>
          <w:szCs w:val="24"/>
          <w:lang w:val="el-GR"/>
        </w:rPr>
        <w:t xml:space="preserve">Το </w:t>
      </w:r>
      <w:proofErr w:type="spellStart"/>
      <w:r w:rsidRPr="001B38FF">
        <w:rPr>
          <w:rStyle w:val="BodyTextChar"/>
          <w:rFonts w:ascii="Bookman Old Style" w:hAnsi="Bookman Old Style"/>
          <w:sz w:val="24"/>
          <w:szCs w:val="24"/>
          <w:lang w:val="el-GR"/>
        </w:rPr>
        <w:t>εκδόσαν</w:t>
      </w:r>
      <w:proofErr w:type="spellEnd"/>
      <w:r w:rsidRPr="001B38FF">
        <w:rPr>
          <w:rStyle w:val="BodyTextChar"/>
          <w:rFonts w:ascii="Bookman Old Style" w:hAnsi="Bookman Old Style"/>
          <w:sz w:val="24"/>
          <w:szCs w:val="24"/>
          <w:lang w:val="el-GR"/>
        </w:rPr>
        <w:t xml:space="preserve"> την απόφαση Δικαστήριο παραβίασε τις αρχές της φυσικής δικαιοσύνης εφόσον αποδέχτηκε την Συμφωνία ημερομηνίας 12/12/2022 και την κατέστησε Κανόνα Δικαστηρίου εκδίδοντας τα διατάγματα του με βάση αυτήν χωρίς να εκδώσει προς τούτο αιτιολογημένη απόφαση και/ή, εν πάση περιπτώσει, χωρίς να αναλύσει στην απόφαση του τους λόγους για τους οποίους αποδέχτηκε την εν λόγω Συμφωνία, ενώ κατά την ακρόαση το ίδιο το Δικαστήριο ανέφερε ότι οποιαδήποτε απόφαση του δεν θα στηριζόταν στη βάση της εν λόγω Συμφωνίας αλλά εντός των πλαισίων της Αίτησης υπ' αριθμό 123/2019.</w:t>
      </w:r>
    </w:p>
    <w:p w14:paraId="6E3B8CB4" w14:textId="77777777" w:rsidR="0098687C" w:rsidRPr="001B38FF" w:rsidRDefault="0098687C" w:rsidP="00F75AB7">
      <w:pPr>
        <w:pStyle w:val="BodyText"/>
        <w:spacing w:after="240" w:line="240" w:lineRule="auto"/>
        <w:ind w:left="567"/>
        <w:jc w:val="both"/>
        <w:rPr>
          <w:rStyle w:val="BodyTextChar"/>
          <w:rFonts w:ascii="Bookman Old Style" w:hAnsi="Bookman Old Style"/>
          <w:sz w:val="24"/>
          <w:szCs w:val="24"/>
          <w:lang w:val="el-GR"/>
        </w:rPr>
      </w:pPr>
      <w:r w:rsidRPr="001B38FF">
        <w:rPr>
          <w:rStyle w:val="BodyTextChar"/>
          <w:rFonts w:ascii="Bookman Old Style" w:hAnsi="Bookman Old Style"/>
          <w:sz w:val="24"/>
          <w:szCs w:val="24"/>
          <w:lang w:val="el-GR"/>
        </w:rPr>
        <w:t xml:space="preserve">Το </w:t>
      </w:r>
      <w:proofErr w:type="spellStart"/>
      <w:r w:rsidRPr="001B38FF">
        <w:rPr>
          <w:rStyle w:val="BodyTextChar"/>
          <w:rFonts w:ascii="Bookman Old Style" w:hAnsi="Bookman Old Style"/>
          <w:sz w:val="24"/>
          <w:szCs w:val="24"/>
          <w:lang w:val="el-GR"/>
        </w:rPr>
        <w:t>εκδόσαν</w:t>
      </w:r>
      <w:proofErr w:type="spellEnd"/>
      <w:r w:rsidRPr="001B38FF">
        <w:rPr>
          <w:rStyle w:val="BodyTextChar"/>
          <w:rFonts w:ascii="Bookman Old Style" w:hAnsi="Bookman Old Style"/>
          <w:sz w:val="24"/>
          <w:szCs w:val="24"/>
          <w:lang w:val="el-GR"/>
        </w:rPr>
        <w:t xml:space="preserve"> την απόφαση Δικαστήριο παραβίασε τις αρχές της φυσικής δικαιοσύνης, εφόσον με την αποδοχή της Συμφωνίας και την έκδοση των διαταγμάτων στη βάση αυτής, ουσιαστικά, ενέκρινε αυτόματα και την Αίτηση υπ' αριθμό 373/2017 χωρίς αυτή να ακουστεί αποστερώντας έτσι το δικαίωμα από τα ενδιαφερόμενο μέρη να τοποθετηθούν και να θέσουν τις απόψεις τους περί των εκεί νομικών και επίδικων ζητημάτων.</w:t>
      </w:r>
    </w:p>
    <w:p w14:paraId="7D91D836" w14:textId="77777777" w:rsidR="0098687C" w:rsidRPr="001B38FF" w:rsidRDefault="0098687C" w:rsidP="00F75AB7">
      <w:pPr>
        <w:pStyle w:val="BodyText"/>
        <w:tabs>
          <w:tab w:val="left" w:pos="523"/>
        </w:tabs>
        <w:spacing w:line="240" w:lineRule="auto"/>
        <w:ind w:left="567"/>
        <w:jc w:val="both"/>
        <w:rPr>
          <w:rFonts w:ascii="Bookman Old Style" w:hAnsi="Bookman Old Style"/>
          <w:sz w:val="24"/>
          <w:szCs w:val="24"/>
          <w:lang w:val="el-GR"/>
        </w:rPr>
      </w:pPr>
      <w:r w:rsidRPr="001B38FF">
        <w:rPr>
          <w:rStyle w:val="BodyTextChar"/>
          <w:rFonts w:ascii="Bookman Old Style" w:hAnsi="Bookman Old Style"/>
          <w:sz w:val="24"/>
          <w:szCs w:val="24"/>
          <w:lang w:val="el-GR"/>
        </w:rPr>
        <w:t>Παρά την ύπαρξη άλλου ένδικου μέσου, στην παρούσα υπόθεση συντρέχουν εξαιρετικές περιστάσεις. Συνοπτικά:</w:t>
      </w:r>
    </w:p>
    <w:p w14:paraId="2349CEC9" w14:textId="01C2EC5E" w:rsidR="0098687C" w:rsidRPr="001B38FF" w:rsidRDefault="00F75AB7" w:rsidP="00F75AB7">
      <w:pPr>
        <w:pStyle w:val="BodyText"/>
        <w:numPr>
          <w:ilvl w:val="0"/>
          <w:numId w:val="4"/>
        </w:numPr>
        <w:tabs>
          <w:tab w:val="left" w:pos="993"/>
        </w:tabs>
        <w:spacing w:line="240" w:lineRule="auto"/>
        <w:ind w:left="567" w:firstLine="0"/>
        <w:jc w:val="both"/>
        <w:rPr>
          <w:rFonts w:ascii="Bookman Old Style" w:hAnsi="Bookman Old Style"/>
          <w:sz w:val="24"/>
          <w:szCs w:val="24"/>
          <w:lang w:val="el-GR"/>
        </w:rPr>
      </w:pPr>
      <w:r w:rsidRPr="00F75AB7">
        <w:rPr>
          <w:rStyle w:val="BodyTextChar"/>
          <w:rFonts w:ascii="Bookman Old Style" w:hAnsi="Bookman Old Style"/>
          <w:sz w:val="24"/>
          <w:szCs w:val="24"/>
          <w:lang w:val="el-GR"/>
        </w:rPr>
        <w:t xml:space="preserve"> </w:t>
      </w:r>
      <w:r w:rsidR="0098687C" w:rsidRPr="001B38FF">
        <w:rPr>
          <w:rStyle w:val="BodyTextChar"/>
          <w:rFonts w:ascii="Bookman Old Style" w:hAnsi="Bookman Old Style"/>
          <w:sz w:val="24"/>
          <w:szCs w:val="24"/>
          <w:lang w:val="el-GR"/>
        </w:rPr>
        <w:t xml:space="preserve">Η διαπίστωση εξόφθαλμου και/ή έκδηλου νομικού σφάλματος και/ή εξόφθαλμης και/ή έκδηλης νομικής πλάνης και/ή υπέρβασης της δικαιοδοσίας και/ή εξουσίας του πρωτόδικου Δικαστηρίου και/ή η παραβίαση των κανόνων της φυσικής δικαιοσύνης μπορεί να οδηγήσει στην έκδοση διατάγματος της φύσης </w:t>
      </w:r>
      <w:r w:rsidR="0098687C" w:rsidRPr="001B38FF">
        <w:rPr>
          <w:rStyle w:val="BodyTextChar"/>
          <w:rFonts w:ascii="Bookman Old Style" w:hAnsi="Bookman Old Style"/>
          <w:sz w:val="24"/>
          <w:szCs w:val="24"/>
          <w:lang w:val="el-GR" w:bidi="en-US"/>
        </w:rPr>
        <w:t xml:space="preserve">Certiorari </w:t>
      </w:r>
      <w:r w:rsidR="0098687C" w:rsidRPr="001B38FF">
        <w:rPr>
          <w:rStyle w:val="BodyTextChar"/>
          <w:rFonts w:ascii="Bookman Old Style" w:hAnsi="Bookman Old Style"/>
          <w:sz w:val="24"/>
          <w:szCs w:val="24"/>
          <w:lang w:val="el-GR"/>
        </w:rPr>
        <w:t>παρά το διαθέσιμο άλλου ένδικου μέσου, καθόσον είναι ανεπίτρεπτο η έκδοση διαταγμάτων σε μία αίτηση να οδηγεί στην άμεση έγκριση και/ή στην έκδοση διαταγμάτων αιτουμένων σε άλλη αίτηση η οποία δεν έχει ακουστεί και/ή εξεταστεί και επί της οποίας δεν δόθηκε η ευκαιρία σε όλα τα εμπλεκόμενα και/ή ενδιαφερόμενο μέρη να τοποθετηθούν.</w:t>
      </w:r>
    </w:p>
    <w:p w14:paraId="618EC86A" w14:textId="09483766" w:rsidR="0098687C" w:rsidRPr="001B38FF" w:rsidRDefault="0098687C" w:rsidP="00F75AB7">
      <w:pPr>
        <w:pStyle w:val="BodyText"/>
        <w:numPr>
          <w:ilvl w:val="0"/>
          <w:numId w:val="4"/>
        </w:numPr>
        <w:tabs>
          <w:tab w:val="left" w:pos="993"/>
        </w:tabs>
        <w:spacing w:line="240" w:lineRule="auto"/>
        <w:ind w:left="567" w:firstLine="0"/>
        <w:jc w:val="both"/>
        <w:rPr>
          <w:rFonts w:ascii="Bookman Old Style" w:hAnsi="Bookman Old Style"/>
          <w:sz w:val="24"/>
          <w:szCs w:val="24"/>
          <w:lang w:val="el-GR"/>
        </w:rPr>
      </w:pPr>
      <w:r w:rsidRPr="001B38FF">
        <w:rPr>
          <w:rStyle w:val="BodyTextChar"/>
          <w:rFonts w:ascii="Bookman Old Style" w:hAnsi="Bookman Old Style"/>
          <w:sz w:val="24"/>
          <w:szCs w:val="24"/>
          <w:lang w:val="el-GR"/>
        </w:rPr>
        <w:t xml:space="preserve">Η διαπίστωση εξόφθαλμου και/ή έκδηλου νομικού σφάλματος και/ή εξόφθαλμης και/ή έκδηλης νομικής πλάνης και/ή υπέρβασης της δικαιοδοσίας και/ή εξουσίας του πρωτόδικου Δικαστηρίου μπορεί να οδηγήσει στην έκδοση διατάγματος της φύσης </w:t>
      </w:r>
      <w:r w:rsidRPr="001B38FF">
        <w:rPr>
          <w:rStyle w:val="BodyTextChar"/>
          <w:rFonts w:ascii="Bookman Old Style" w:hAnsi="Bookman Old Style"/>
          <w:sz w:val="24"/>
          <w:szCs w:val="24"/>
          <w:lang w:val="el-GR" w:bidi="en-US"/>
        </w:rPr>
        <w:t xml:space="preserve">Certiorari </w:t>
      </w:r>
      <w:r w:rsidRPr="001B38FF">
        <w:rPr>
          <w:rStyle w:val="BodyTextChar"/>
          <w:rFonts w:ascii="Bookman Old Style" w:hAnsi="Bookman Old Style"/>
          <w:sz w:val="24"/>
          <w:szCs w:val="24"/>
          <w:lang w:val="el-GR"/>
        </w:rPr>
        <w:t xml:space="preserve">παρά το διαθέσιμο άλλου ένδικου μέσου, καθόσον είναι ανεπίτρεπτο να εκδίδονται διατάγματα καταφανώς αντίθετα με το νομικό πλαίσιο της υπό εκδίκαση Αίτησης και/ή να καθίστανται ως Κανόνας Δικαστηρίου παράνομες και/ή </w:t>
      </w:r>
      <w:proofErr w:type="spellStart"/>
      <w:r w:rsidRPr="001B38FF">
        <w:rPr>
          <w:rStyle w:val="BodyTextChar"/>
          <w:rFonts w:ascii="Bookman Old Style" w:hAnsi="Bookman Old Style"/>
          <w:sz w:val="24"/>
          <w:szCs w:val="24"/>
          <w:lang w:val="el-GR"/>
        </w:rPr>
        <w:t>αντινομικές</w:t>
      </w:r>
      <w:proofErr w:type="spellEnd"/>
      <w:r w:rsidRPr="001B38FF">
        <w:rPr>
          <w:rStyle w:val="BodyTextChar"/>
          <w:rFonts w:ascii="Bookman Old Style" w:hAnsi="Bookman Old Style"/>
          <w:sz w:val="24"/>
          <w:szCs w:val="24"/>
          <w:lang w:val="el-GR"/>
        </w:rPr>
        <w:t xml:space="preserve"> συμφωνίες.</w:t>
      </w:r>
    </w:p>
    <w:p w14:paraId="5984CAAC" w14:textId="77777777" w:rsidR="0098687C" w:rsidRPr="001B38FF" w:rsidRDefault="0098687C" w:rsidP="00F75AB7">
      <w:pPr>
        <w:pStyle w:val="BodyText"/>
        <w:spacing w:line="240" w:lineRule="auto"/>
        <w:ind w:left="567"/>
        <w:jc w:val="both"/>
        <w:rPr>
          <w:rFonts w:ascii="Bookman Old Style" w:hAnsi="Bookman Old Style"/>
          <w:sz w:val="24"/>
          <w:szCs w:val="24"/>
          <w:lang w:val="el-GR"/>
        </w:rPr>
      </w:pPr>
      <w:proofErr w:type="spellStart"/>
      <w:r w:rsidRPr="001B38FF">
        <w:rPr>
          <w:rStyle w:val="Headerorfooter2"/>
          <w:rFonts w:ascii="Bookman Old Style" w:eastAsia="Calibri" w:hAnsi="Bookman Old Style"/>
          <w:sz w:val="24"/>
          <w:szCs w:val="24"/>
          <w:lang w:val="el-GR"/>
        </w:rPr>
        <w:t>iii</w:t>
      </w:r>
      <w:proofErr w:type="spellEnd"/>
      <w:r w:rsidRPr="001B38FF">
        <w:rPr>
          <w:rStyle w:val="Headerorfooter2"/>
          <w:rFonts w:ascii="Bookman Old Style" w:eastAsia="Calibri" w:hAnsi="Bookman Old Style"/>
          <w:sz w:val="24"/>
          <w:szCs w:val="24"/>
          <w:lang w:val="el-GR"/>
        </w:rPr>
        <w:t xml:space="preserve">. Η διαπίστωση έκδηλης παραβίασης των κανόνων της φυσικής δικαιοσύνης από πλευράς του </w:t>
      </w:r>
      <w:r w:rsidRPr="001B38FF">
        <w:rPr>
          <w:rStyle w:val="BodyTextChar"/>
          <w:rFonts w:ascii="Bookman Old Style" w:hAnsi="Bookman Old Style"/>
          <w:sz w:val="24"/>
          <w:szCs w:val="24"/>
          <w:lang w:val="el-GR"/>
        </w:rPr>
        <w:t xml:space="preserve">πρωτόδικου Δικαστηρίου μπορεί να οδηγήσει στην έκδοση διατάγματος της φύσης </w:t>
      </w:r>
      <w:r w:rsidRPr="001B38FF">
        <w:rPr>
          <w:rStyle w:val="BodyTextChar"/>
          <w:rFonts w:ascii="Bookman Old Style" w:hAnsi="Bookman Old Style"/>
          <w:sz w:val="24"/>
          <w:szCs w:val="24"/>
          <w:lang w:val="el-GR" w:bidi="en-US"/>
        </w:rPr>
        <w:t xml:space="preserve">Certiorari </w:t>
      </w:r>
      <w:r w:rsidRPr="001B38FF">
        <w:rPr>
          <w:rStyle w:val="BodyTextChar"/>
          <w:rFonts w:ascii="Bookman Old Style" w:hAnsi="Bookman Old Style"/>
          <w:sz w:val="24"/>
          <w:szCs w:val="24"/>
          <w:lang w:val="el-GR"/>
        </w:rPr>
        <w:t>παρά το διαθέσιμο άλλου ένδικου μέσου, καθόσον είναι ανεπίτρεπτο, σε απόφαση κατόπιν ακρόασης, να γίνεται αποδεκτή και/ή να καθίσταται ως Κανόνας Δικαστηρίου Συμφωνία, πόσο μάλλον παράνομη, χωρίς να εξειδικεύονται στην απόφαση οι λόγοι για τους οποίους το πρωτόδικο Δικαστήριο έπραξε τοιουτοτρόπως και/ή χωρίς να δίδεται προς τούτο αιτιολογημένη απόφαση.</w:t>
      </w:r>
    </w:p>
    <w:p w14:paraId="56601761" w14:textId="77777777" w:rsidR="0098687C" w:rsidRPr="001B38FF" w:rsidRDefault="0098687C" w:rsidP="00F75AB7">
      <w:pPr>
        <w:pStyle w:val="BodyText"/>
        <w:spacing w:line="240" w:lineRule="auto"/>
        <w:ind w:left="567"/>
        <w:jc w:val="both"/>
        <w:rPr>
          <w:rFonts w:ascii="Bookman Old Style" w:hAnsi="Bookman Old Style"/>
          <w:sz w:val="24"/>
          <w:szCs w:val="24"/>
          <w:lang w:val="el-GR"/>
        </w:rPr>
      </w:pPr>
      <w:proofErr w:type="spellStart"/>
      <w:r w:rsidRPr="001B38FF">
        <w:rPr>
          <w:rStyle w:val="BodyTextChar"/>
          <w:rFonts w:ascii="Bookman Old Style" w:hAnsi="Bookman Old Style"/>
          <w:sz w:val="24"/>
          <w:szCs w:val="24"/>
          <w:lang w:val="el-GR"/>
        </w:rPr>
        <w:t>iv</w:t>
      </w:r>
      <w:proofErr w:type="spellEnd"/>
      <w:r w:rsidRPr="001B38FF">
        <w:rPr>
          <w:rStyle w:val="BodyTextChar"/>
          <w:rFonts w:ascii="Bookman Old Style" w:hAnsi="Bookman Old Style"/>
          <w:sz w:val="24"/>
          <w:szCs w:val="24"/>
          <w:lang w:val="el-GR"/>
        </w:rPr>
        <w:t xml:space="preserve">. Η εκδοθείσα απόφαση και η αποδοχή της Συμφωνίας ημερομηνίας 12/12/2022 ως Κανόνα Δικαστηρίου, η οποία έγινε κατόπιν έκδηλου νομικού σφάλματος και/ή έκδηλης νομικής πλάνης και/ή καθ' υπέρβαση δικαιοδοσίας και/ή εξουσίας, σε συνδυασμό με τα ιδιαίτερα χαρακτηριστικά της υπόθεσης έχει δραστικές επιπτώσεις και οδηγεί στην εξάλειψη και/ή στον εκμηδενισμό και/ή στην καταστρατήγηση των νομικών δικαιωμάτων των Αιτητών καθώς και των καταθετών και πιστωτών της </w:t>
      </w:r>
      <w:r w:rsidRPr="001B38FF">
        <w:rPr>
          <w:rStyle w:val="BodyTextChar"/>
          <w:rFonts w:ascii="Bookman Old Style" w:hAnsi="Bookman Old Style"/>
          <w:sz w:val="24"/>
          <w:szCs w:val="24"/>
          <w:lang w:val="el-GR" w:bidi="en-US"/>
        </w:rPr>
        <w:t>FBME.</w:t>
      </w:r>
    </w:p>
    <w:p w14:paraId="3F6DB77C" w14:textId="61F4A474" w:rsidR="0098687C" w:rsidRPr="001B38FF" w:rsidRDefault="0098687C" w:rsidP="00F75AB7">
      <w:pPr>
        <w:pStyle w:val="BodyText"/>
        <w:spacing w:line="240" w:lineRule="auto"/>
        <w:ind w:left="567"/>
        <w:jc w:val="both"/>
        <w:rPr>
          <w:rFonts w:ascii="Bookman Old Style" w:hAnsi="Bookman Old Style"/>
          <w:sz w:val="24"/>
          <w:szCs w:val="24"/>
          <w:lang w:val="el-GR"/>
        </w:rPr>
      </w:pPr>
      <w:r w:rsidRPr="001B38FF">
        <w:rPr>
          <w:rStyle w:val="BodyTextChar"/>
          <w:rFonts w:ascii="Bookman Old Style" w:hAnsi="Bookman Old Style"/>
          <w:sz w:val="24"/>
          <w:szCs w:val="24"/>
          <w:lang w:val="el-GR"/>
        </w:rPr>
        <w:t>Η παρούσα αίτηση υποβάλλεται χωρίς οποιαδήποτε καθυστέρηση και, εν πάση περιπτώσει, υποβάλλεται εντός της προθεσμίας που τάσσει ο περί Ανωτάτου Δικαστηρίου (Δικαιοδοσία Έκδοσης Ενταλμάτων Προνομιακής Φύσεως) Διαδικαστικός Κανονισμός του 2018.</w:t>
      </w:r>
    </w:p>
    <w:p w14:paraId="7A3154C6" w14:textId="77777777" w:rsidR="0098687C" w:rsidRPr="001B38FF" w:rsidRDefault="0098687C" w:rsidP="00F75AB7">
      <w:pPr>
        <w:pStyle w:val="BodyText"/>
        <w:tabs>
          <w:tab w:val="left" w:pos="509"/>
        </w:tabs>
        <w:spacing w:line="240" w:lineRule="auto"/>
        <w:ind w:left="567"/>
        <w:jc w:val="both"/>
        <w:rPr>
          <w:rFonts w:ascii="Bookman Old Style" w:hAnsi="Bookman Old Style"/>
          <w:sz w:val="24"/>
          <w:szCs w:val="24"/>
          <w:lang w:val="el-GR"/>
        </w:rPr>
      </w:pPr>
      <w:r w:rsidRPr="001B38FF">
        <w:rPr>
          <w:rStyle w:val="BodyTextChar"/>
          <w:rFonts w:ascii="Bookman Old Style" w:hAnsi="Bookman Old Style"/>
          <w:sz w:val="24"/>
          <w:szCs w:val="24"/>
          <w:lang w:val="el-GR"/>
        </w:rPr>
        <w:t xml:space="preserve">Οι Αιτητές διαφωνούν και δεν αποδέχονται ότι πληρούνται οι προϋποθέσεις για επιτυχία της Αίτησης υπ' αριθμό 123/2019. Εν τούτοις, στα πλαίσια της παρούσας διαδικασίας, περιορίζονται αποκλειστικά σε νομικούς και μόνο λόγους που αφορούν τη νομιμότητα της έκδοσης του Διατάγματος και όχι την ορθότητα του, οι οποίοι δύνανται να εξεταστούν με τη διαδικασία του προνομιακού εντάλματος </w:t>
      </w:r>
      <w:r w:rsidRPr="001B38FF">
        <w:rPr>
          <w:rStyle w:val="BodyTextChar"/>
          <w:rFonts w:ascii="Bookman Old Style" w:hAnsi="Bookman Old Style"/>
          <w:sz w:val="24"/>
          <w:szCs w:val="24"/>
          <w:lang w:val="el-GR" w:bidi="en-US"/>
        </w:rPr>
        <w:t>Certiorari.</w:t>
      </w:r>
    </w:p>
    <w:p w14:paraId="518E3BF8" w14:textId="07654058" w:rsidR="0098687C" w:rsidRPr="001B38FF" w:rsidRDefault="0098687C" w:rsidP="00F75AB7">
      <w:pPr>
        <w:pStyle w:val="BodyText"/>
        <w:tabs>
          <w:tab w:val="left" w:pos="509"/>
        </w:tabs>
        <w:spacing w:after="540" w:line="240" w:lineRule="auto"/>
        <w:ind w:left="567"/>
        <w:jc w:val="both"/>
        <w:rPr>
          <w:rStyle w:val="BodyTextChar"/>
          <w:rFonts w:ascii="Bookman Old Style" w:hAnsi="Bookman Old Style"/>
          <w:sz w:val="24"/>
          <w:szCs w:val="24"/>
          <w:lang w:val="el-GR"/>
        </w:rPr>
      </w:pPr>
      <w:r w:rsidRPr="001B38FF">
        <w:rPr>
          <w:rStyle w:val="BodyTextChar"/>
          <w:rFonts w:ascii="Bookman Old Style" w:hAnsi="Bookman Old Style"/>
          <w:sz w:val="24"/>
          <w:szCs w:val="24"/>
          <w:lang w:val="el-GR"/>
        </w:rPr>
        <w:t xml:space="preserve">Υπάρχει συζητήσιμη εκ πρώτης όψεως υπόθεση και είναι δίκαιο και εύλογο όπως δοθεί άδεια για καταχώρηση της Αίτησης για έκδοση του Προνομιακού Εντάλματος της φύσεως </w:t>
      </w:r>
      <w:r w:rsidRPr="001B38FF">
        <w:rPr>
          <w:rStyle w:val="BodyTextChar"/>
          <w:rFonts w:ascii="Bookman Old Style" w:hAnsi="Bookman Old Style"/>
          <w:sz w:val="24"/>
          <w:szCs w:val="24"/>
          <w:lang w:val="el-GR" w:bidi="en-US"/>
        </w:rPr>
        <w:t>Certiorari.</w:t>
      </w:r>
      <w:r w:rsidR="001B38FF">
        <w:rPr>
          <w:rStyle w:val="BodyTextChar"/>
          <w:rFonts w:ascii="Bookman Old Style" w:hAnsi="Bookman Old Style"/>
          <w:sz w:val="24"/>
          <w:szCs w:val="24"/>
          <w:lang w:val="el-GR" w:bidi="en-US"/>
        </w:rPr>
        <w:t>»</w:t>
      </w:r>
    </w:p>
    <w:p w14:paraId="0EED766E" w14:textId="3A06487F" w:rsidR="001B38FF" w:rsidRDefault="00F75AB7" w:rsidP="00F75AB7">
      <w:pPr>
        <w:pStyle w:val="BodyText"/>
        <w:tabs>
          <w:tab w:val="left" w:pos="509"/>
        </w:tabs>
        <w:spacing w:before="240" w:after="0" w:line="48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bidi="en-US"/>
        </w:rPr>
        <w:tab/>
      </w:r>
      <w:r w:rsidR="001B38FF" w:rsidRPr="001B38FF">
        <w:rPr>
          <w:rStyle w:val="BodyTextChar"/>
          <w:rFonts w:ascii="Bookman Old Style" w:hAnsi="Bookman Old Style"/>
          <w:sz w:val="28"/>
          <w:szCs w:val="28"/>
          <w:lang w:val="el-GR" w:bidi="en-US"/>
        </w:rPr>
        <w:t xml:space="preserve">Οι ευπαίδευτοι συνήγοροι των </w:t>
      </w:r>
      <w:r w:rsidR="005173B1">
        <w:rPr>
          <w:rStyle w:val="BodyTextChar"/>
          <w:rFonts w:ascii="Bookman Old Style" w:hAnsi="Bookman Old Style"/>
          <w:sz w:val="28"/>
          <w:szCs w:val="28"/>
          <w:lang w:val="el-GR" w:bidi="en-US"/>
        </w:rPr>
        <w:t>α</w:t>
      </w:r>
      <w:r w:rsidR="001B38FF" w:rsidRPr="001B38FF">
        <w:rPr>
          <w:rStyle w:val="BodyTextChar"/>
          <w:rFonts w:ascii="Bookman Old Style" w:hAnsi="Bookman Old Style"/>
          <w:sz w:val="28"/>
          <w:szCs w:val="28"/>
          <w:lang w:val="el-GR" w:bidi="en-US"/>
        </w:rPr>
        <w:t>ιτητών, με τις αγορεύσεις τους, τις οπο</w:t>
      </w:r>
      <w:r w:rsidR="001B38FF">
        <w:rPr>
          <w:rStyle w:val="BodyTextChar"/>
          <w:rFonts w:ascii="Bookman Old Style" w:hAnsi="Bookman Old Style"/>
          <w:sz w:val="28"/>
          <w:szCs w:val="28"/>
          <w:lang w:val="el-GR" w:bidi="en-US"/>
        </w:rPr>
        <w:t>ί</w:t>
      </w:r>
      <w:r w:rsidR="001B38FF" w:rsidRPr="001B38FF">
        <w:rPr>
          <w:rStyle w:val="BodyTextChar"/>
          <w:rFonts w:ascii="Bookman Old Style" w:hAnsi="Bookman Old Style"/>
          <w:sz w:val="28"/>
          <w:szCs w:val="28"/>
          <w:lang w:val="el-GR" w:bidi="en-US"/>
        </w:rPr>
        <w:t>ες προνόησαν να καταγράψο</w:t>
      </w:r>
      <w:r w:rsidR="001B38FF">
        <w:rPr>
          <w:rStyle w:val="BodyTextChar"/>
          <w:rFonts w:ascii="Bookman Old Style" w:hAnsi="Bookman Old Style"/>
          <w:sz w:val="28"/>
          <w:szCs w:val="28"/>
          <w:lang w:val="el-GR" w:bidi="en-US"/>
        </w:rPr>
        <w:t>υ</w:t>
      </w:r>
      <w:r w:rsidR="001B38FF" w:rsidRPr="001B38FF">
        <w:rPr>
          <w:rStyle w:val="BodyTextChar"/>
          <w:rFonts w:ascii="Bookman Old Style" w:hAnsi="Bookman Old Style"/>
          <w:sz w:val="28"/>
          <w:szCs w:val="28"/>
          <w:lang w:val="el-GR" w:bidi="en-US"/>
        </w:rPr>
        <w:t>ν και να θέσουν υπόψιν του Δικαστηρίου προώθησαν</w:t>
      </w:r>
      <w:r w:rsidR="001B38FF">
        <w:rPr>
          <w:rStyle w:val="BodyTextChar"/>
          <w:rFonts w:ascii="Bookman Old Style" w:hAnsi="Bookman Old Style"/>
          <w:sz w:val="28"/>
          <w:szCs w:val="28"/>
          <w:lang w:val="el-GR" w:bidi="en-US"/>
        </w:rPr>
        <w:t xml:space="preserve"> τις θέσεις τους σε συνάρτηση με τους προαναφερθέντες λόγους.  Στο βαθμό δε που έκριναν αναγκαίο, έπραξαν τούτο και δια ζώσης κατά το στάδιο της ακρόασης</w:t>
      </w:r>
      <w:r w:rsidR="000251E7">
        <w:rPr>
          <w:rStyle w:val="BodyTextChar"/>
          <w:rFonts w:ascii="Bookman Old Style" w:hAnsi="Bookman Old Style"/>
          <w:sz w:val="28"/>
          <w:szCs w:val="28"/>
          <w:lang w:val="el-GR" w:bidi="en-US"/>
        </w:rPr>
        <w:t xml:space="preserve"> της αίτησης τους</w:t>
      </w:r>
      <w:r w:rsidR="001B38FF">
        <w:rPr>
          <w:rStyle w:val="BodyTextChar"/>
          <w:rFonts w:ascii="Bookman Old Style" w:hAnsi="Bookman Old Style"/>
          <w:sz w:val="28"/>
          <w:szCs w:val="28"/>
          <w:lang w:val="el-GR" w:bidi="en-US"/>
        </w:rPr>
        <w:t>.  Το Δικαστήριο, με πολλή προσοχή, έχει διεξέλθει τόσο την προσβαλλόμενη απόφαση του κατώτερου Δικαστηρίου</w:t>
      </w:r>
      <w:r w:rsidR="000251E7">
        <w:rPr>
          <w:rStyle w:val="BodyTextChar"/>
          <w:rFonts w:ascii="Bookman Old Style" w:hAnsi="Bookman Old Style"/>
          <w:sz w:val="28"/>
          <w:szCs w:val="28"/>
          <w:lang w:val="el-GR" w:bidi="en-US"/>
        </w:rPr>
        <w:t>, την Έκθεση και ένορκη δήλωση που συνοδεύουν την υπό συζήτηση αίτηση</w:t>
      </w:r>
      <w:r w:rsidR="001B38FF">
        <w:rPr>
          <w:rStyle w:val="BodyTextChar"/>
          <w:rFonts w:ascii="Bookman Old Style" w:hAnsi="Bookman Old Style"/>
          <w:sz w:val="28"/>
          <w:szCs w:val="28"/>
          <w:lang w:val="el-GR" w:bidi="en-US"/>
        </w:rPr>
        <w:t xml:space="preserve"> όσο και τις αναφορές, τοποθετήσεις, θέσεις και εισηγήσεις των </w:t>
      </w:r>
      <w:proofErr w:type="spellStart"/>
      <w:r w:rsidR="001B38FF">
        <w:rPr>
          <w:rStyle w:val="BodyTextChar"/>
          <w:rFonts w:ascii="Bookman Old Style" w:hAnsi="Bookman Old Style"/>
          <w:sz w:val="28"/>
          <w:szCs w:val="28"/>
          <w:lang w:val="el-GR" w:bidi="en-US"/>
        </w:rPr>
        <w:t>ευπαίδευτων</w:t>
      </w:r>
      <w:proofErr w:type="spellEnd"/>
      <w:r w:rsidR="001B38FF">
        <w:rPr>
          <w:rStyle w:val="BodyTextChar"/>
          <w:rFonts w:ascii="Bookman Old Style" w:hAnsi="Bookman Old Style"/>
          <w:sz w:val="28"/>
          <w:szCs w:val="28"/>
          <w:lang w:val="el-GR" w:bidi="en-US"/>
        </w:rPr>
        <w:t xml:space="preserve"> συνηγόρων των </w:t>
      </w:r>
      <w:proofErr w:type="spellStart"/>
      <w:r w:rsidR="001B38FF">
        <w:rPr>
          <w:rStyle w:val="BodyTextChar"/>
          <w:rFonts w:ascii="Bookman Old Style" w:hAnsi="Bookman Old Style"/>
          <w:sz w:val="28"/>
          <w:szCs w:val="28"/>
          <w:lang w:val="el-GR" w:bidi="en-US"/>
        </w:rPr>
        <w:t>αιτητών</w:t>
      </w:r>
      <w:proofErr w:type="spellEnd"/>
      <w:r w:rsidR="001B38FF">
        <w:rPr>
          <w:rStyle w:val="BodyTextChar"/>
          <w:rFonts w:ascii="Bookman Old Style" w:hAnsi="Bookman Old Style"/>
          <w:sz w:val="28"/>
          <w:szCs w:val="28"/>
          <w:lang w:val="el-GR" w:bidi="en-US"/>
        </w:rPr>
        <w:t xml:space="preserve">.  </w:t>
      </w:r>
    </w:p>
    <w:p w14:paraId="510290FB" w14:textId="0CEF4747" w:rsidR="00C07ED2" w:rsidRPr="009C0DEF" w:rsidRDefault="00F75AB7" w:rsidP="00F75AB7">
      <w:pPr>
        <w:tabs>
          <w:tab w:val="left" w:pos="567"/>
        </w:tabs>
        <w:spacing w:before="240" w:after="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sidR="00C07ED2">
        <w:rPr>
          <w:rFonts w:ascii="Bookman Old Style" w:eastAsia="Times New Roman" w:hAnsi="Bookman Old Style" w:cs="Times New Roman"/>
          <w:color w:val="000000"/>
          <w:kern w:val="0"/>
          <w:sz w:val="28"/>
          <w:szCs w:val="28"/>
          <w:lang w:val="el-GR"/>
          <w14:ligatures w14:val="none"/>
        </w:rPr>
        <w:t xml:space="preserve">Ως αναδύεται από την διαχρονική και καλά εδραιωμένη </w:t>
      </w:r>
      <w:r w:rsidR="00C07ED2" w:rsidRPr="0053721D">
        <w:rPr>
          <w:rFonts w:ascii="Bookman Old Style" w:eastAsia="Times New Roman" w:hAnsi="Bookman Old Style" w:cs="Times New Roman"/>
          <w:color w:val="000000"/>
          <w:kern w:val="0"/>
          <w:sz w:val="28"/>
          <w:szCs w:val="28"/>
          <w:lang w:val="el-GR"/>
          <w14:ligatures w14:val="none"/>
        </w:rPr>
        <w:t xml:space="preserve">νομολογία </w:t>
      </w:r>
      <w:r w:rsidR="00C07ED2">
        <w:rPr>
          <w:rFonts w:ascii="Bookman Old Style" w:eastAsia="Times New Roman" w:hAnsi="Bookman Old Style" w:cs="Times New Roman"/>
          <w:color w:val="000000"/>
          <w:kern w:val="0"/>
          <w:sz w:val="28"/>
          <w:szCs w:val="28"/>
          <w:lang w:val="el-GR"/>
          <w14:ligatures w14:val="none"/>
        </w:rPr>
        <w:t xml:space="preserve">των Δικαστηρίων μας, </w:t>
      </w:r>
      <w:r w:rsidR="00C07ED2" w:rsidRPr="0053721D">
        <w:rPr>
          <w:rFonts w:ascii="Bookman Old Style" w:eastAsia="Times New Roman" w:hAnsi="Bookman Old Style" w:cs="Times New Roman"/>
          <w:color w:val="000000"/>
          <w:kern w:val="0"/>
          <w:sz w:val="28"/>
          <w:szCs w:val="28"/>
          <w:lang w:val="el-GR"/>
          <w14:ligatures w14:val="none"/>
        </w:rPr>
        <w:t>τα Προνομιακά Εντάλματα</w:t>
      </w:r>
      <w:r w:rsidR="00C07ED2">
        <w:rPr>
          <w:rFonts w:ascii="Bookman Old Style" w:eastAsia="Times New Roman" w:hAnsi="Bookman Old Style" w:cs="Times New Roman"/>
          <w:color w:val="000000"/>
          <w:kern w:val="0"/>
          <w:sz w:val="28"/>
          <w:szCs w:val="28"/>
          <w:lang w:val="el-GR"/>
          <w14:ligatures w14:val="none"/>
        </w:rPr>
        <w:t xml:space="preserve">, ως κατάλοιπο της εξουσίας </w:t>
      </w:r>
      <w:r w:rsidR="000251E7">
        <w:rPr>
          <w:rFonts w:ascii="Bookman Old Style" w:eastAsia="Times New Roman" w:hAnsi="Bookman Old Style" w:cs="Times New Roman"/>
          <w:color w:val="000000"/>
          <w:kern w:val="0"/>
          <w:sz w:val="28"/>
          <w:szCs w:val="28"/>
          <w:lang w:val="el-GR"/>
          <w14:ligatures w14:val="none"/>
        </w:rPr>
        <w:t xml:space="preserve">του </w:t>
      </w:r>
      <w:r w:rsidR="001F6C31">
        <w:rPr>
          <w:rFonts w:ascii="Bookman Old Style" w:eastAsia="Times New Roman" w:hAnsi="Bookman Old Style" w:cs="Times New Roman"/>
          <w:color w:val="000000"/>
          <w:kern w:val="0"/>
          <w:sz w:val="28"/>
          <w:szCs w:val="28"/>
          <w:lang w:val="el-GR"/>
          <w14:ligatures w14:val="none"/>
        </w:rPr>
        <w:t>Ανώτατου</w:t>
      </w:r>
      <w:r w:rsidR="000251E7">
        <w:rPr>
          <w:rFonts w:ascii="Bookman Old Style" w:eastAsia="Times New Roman" w:hAnsi="Bookman Old Style" w:cs="Times New Roman"/>
          <w:color w:val="000000"/>
          <w:kern w:val="0"/>
          <w:sz w:val="28"/>
          <w:szCs w:val="28"/>
          <w:lang w:val="el-GR"/>
          <w14:ligatures w14:val="none"/>
        </w:rPr>
        <w:t xml:space="preserve"> Δικαστηρίου </w:t>
      </w:r>
      <w:r w:rsidR="00C07ED2">
        <w:rPr>
          <w:rFonts w:ascii="Bookman Old Style" w:eastAsia="Times New Roman" w:hAnsi="Bookman Old Style" w:cs="Times New Roman"/>
          <w:color w:val="000000"/>
          <w:kern w:val="0"/>
          <w:sz w:val="28"/>
          <w:szCs w:val="28"/>
          <w:lang w:val="el-GR"/>
          <w14:ligatures w14:val="none"/>
        </w:rPr>
        <w:t xml:space="preserve">για έλεγχο </w:t>
      </w:r>
      <w:r w:rsidR="00C07ED2" w:rsidRPr="0053721D">
        <w:rPr>
          <w:rFonts w:ascii="Bookman Old Style" w:eastAsia="Times New Roman" w:hAnsi="Bookman Old Style" w:cs="Times New Roman"/>
          <w:color w:val="000000"/>
          <w:kern w:val="0"/>
          <w:sz w:val="28"/>
          <w:szCs w:val="28"/>
          <w:lang w:val="el-GR"/>
          <w14:ligatures w14:val="none"/>
        </w:rPr>
        <w:t xml:space="preserve">των </w:t>
      </w:r>
      <w:r w:rsidR="00022F05">
        <w:rPr>
          <w:rFonts w:ascii="Bookman Old Style" w:eastAsia="Times New Roman" w:hAnsi="Bookman Old Style" w:cs="Times New Roman"/>
          <w:color w:val="000000"/>
          <w:kern w:val="0"/>
          <w:sz w:val="28"/>
          <w:szCs w:val="28"/>
          <w:lang w:val="el-GR"/>
          <w14:ligatures w14:val="none"/>
        </w:rPr>
        <w:t>κ</w:t>
      </w:r>
      <w:r w:rsidR="00C07ED2" w:rsidRPr="0053721D">
        <w:rPr>
          <w:rFonts w:ascii="Bookman Old Style" w:eastAsia="Times New Roman" w:hAnsi="Bookman Old Style" w:cs="Times New Roman"/>
          <w:color w:val="000000"/>
          <w:kern w:val="0"/>
          <w:sz w:val="28"/>
          <w:szCs w:val="28"/>
          <w:lang w:val="el-GR"/>
          <w14:ligatures w14:val="none"/>
        </w:rPr>
        <w:t>ατώτερων Δικαστηρίων</w:t>
      </w:r>
      <w:r w:rsidR="00C07ED2">
        <w:rPr>
          <w:rFonts w:ascii="Bookman Old Style" w:eastAsia="Times New Roman" w:hAnsi="Bookman Old Style" w:cs="Times New Roman"/>
          <w:color w:val="000000"/>
          <w:kern w:val="0"/>
          <w:sz w:val="28"/>
          <w:szCs w:val="28"/>
          <w:lang w:val="el-GR"/>
          <w14:ligatures w14:val="none"/>
        </w:rPr>
        <w:t>,</w:t>
      </w:r>
      <w:r w:rsidR="00C07ED2" w:rsidRPr="0053721D">
        <w:rPr>
          <w:rFonts w:ascii="Bookman Old Style" w:eastAsia="Times New Roman" w:hAnsi="Bookman Old Style" w:cs="Times New Roman"/>
          <w:color w:val="000000"/>
          <w:kern w:val="0"/>
          <w:sz w:val="28"/>
          <w:szCs w:val="28"/>
          <w:lang w:val="el-GR"/>
          <w14:ligatures w14:val="none"/>
        </w:rPr>
        <w:t xml:space="preserve"> χορηγούνται κατ' εξαίρεση</w:t>
      </w:r>
      <w:r w:rsidR="00C07ED2">
        <w:rPr>
          <w:rFonts w:ascii="Bookman Old Style" w:eastAsia="Times New Roman" w:hAnsi="Bookman Old Style" w:cs="Times New Roman"/>
          <w:color w:val="000000"/>
          <w:kern w:val="0"/>
          <w:sz w:val="28"/>
          <w:szCs w:val="28"/>
          <w:lang w:val="el-GR"/>
          <w14:ligatures w14:val="none"/>
        </w:rPr>
        <w:t xml:space="preserve">. Πρόκειται </w:t>
      </w:r>
      <w:r w:rsidR="00C07ED2" w:rsidRPr="00BB739F">
        <w:rPr>
          <w:rFonts w:ascii="Bookman Old Style" w:hAnsi="Bookman Old Style"/>
          <w:sz w:val="28"/>
          <w:szCs w:val="28"/>
          <w:lang w:val="el-GR"/>
        </w:rPr>
        <w:t>για δικαιοδοσία</w:t>
      </w:r>
      <w:r w:rsidR="00492FA9">
        <w:rPr>
          <w:rFonts w:ascii="Bookman Old Style" w:hAnsi="Bookman Old Style"/>
          <w:sz w:val="28"/>
          <w:szCs w:val="28"/>
          <w:lang w:val="el-GR"/>
        </w:rPr>
        <w:t xml:space="preserve"> </w:t>
      </w:r>
      <w:r w:rsidR="00C07ED2" w:rsidRPr="00BB739F">
        <w:rPr>
          <w:rFonts w:ascii="Bookman Old Style" w:hAnsi="Bookman Old Style"/>
          <w:sz w:val="28"/>
          <w:szCs w:val="28"/>
          <w:lang w:val="el-GR"/>
        </w:rPr>
        <w:t xml:space="preserve">που ασκείται </w:t>
      </w:r>
      <w:r w:rsidR="00C07ED2">
        <w:rPr>
          <w:rFonts w:ascii="Bookman Old Style" w:hAnsi="Bookman Old Style"/>
          <w:sz w:val="28"/>
          <w:szCs w:val="28"/>
          <w:lang w:val="el-GR"/>
        </w:rPr>
        <w:t xml:space="preserve">με </w:t>
      </w:r>
      <w:r w:rsidR="00C07ED2" w:rsidRPr="00BB739F">
        <w:rPr>
          <w:rFonts w:ascii="Bookman Old Style" w:hAnsi="Bookman Old Style"/>
          <w:sz w:val="28"/>
          <w:szCs w:val="28"/>
          <w:lang w:val="el-GR"/>
        </w:rPr>
        <w:t xml:space="preserve"> ιδιαίτερη φει</w:t>
      </w:r>
      <w:r w:rsidR="00C07ED2">
        <w:rPr>
          <w:rFonts w:ascii="Bookman Old Style" w:hAnsi="Bookman Old Style"/>
          <w:sz w:val="28"/>
          <w:szCs w:val="28"/>
          <w:lang w:val="el-GR"/>
        </w:rPr>
        <w:t xml:space="preserve">δώ. Άδεια για </w:t>
      </w:r>
      <w:r w:rsidR="00C07ED2" w:rsidRPr="0053721D">
        <w:rPr>
          <w:rFonts w:ascii="Bookman Old Style" w:eastAsia="Times New Roman" w:hAnsi="Bookman Old Style" w:cs="Times New Roman"/>
          <w:color w:val="000000"/>
          <w:kern w:val="0"/>
          <w:sz w:val="28"/>
          <w:szCs w:val="28"/>
          <w:lang w:val="el-GR"/>
          <w14:ligatures w14:val="none"/>
        </w:rPr>
        <w:t>καταχώρηση αίτησης για έκδοση προνομιακού εντάλματος</w:t>
      </w:r>
      <w:r w:rsidR="00C07ED2">
        <w:rPr>
          <w:rFonts w:ascii="Bookman Old Style" w:eastAsia="Times New Roman" w:hAnsi="Bookman Old Style" w:cs="Times New Roman"/>
          <w:color w:val="000000"/>
          <w:kern w:val="0"/>
          <w:sz w:val="28"/>
          <w:szCs w:val="28"/>
          <w:lang w:val="el-GR"/>
          <w14:ligatures w14:val="none"/>
        </w:rPr>
        <w:t>,</w:t>
      </w:r>
      <w:r w:rsidR="00C07ED2" w:rsidRPr="0053721D">
        <w:rPr>
          <w:rFonts w:ascii="Bookman Old Style" w:eastAsia="Times New Roman" w:hAnsi="Bookman Old Style" w:cs="Times New Roman"/>
          <w:color w:val="000000"/>
          <w:kern w:val="0"/>
          <w:sz w:val="28"/>
          <w:szCs w:val="28"/>
          <w:lang w:val="el-GR"/>
          <w14:ligatures w14:val="none"/>
        </w:rPr>
        <w:t xml:space="preserve"> παρέχεται όπου από το πρακτικό του </w:t>
      </w:r>
      <w:r w:rsidR="00022F05">
        <w:rPr>
          <w:rFonts w:ascii="Bookman Old Style" w:eastAsia="Times New Roman" w:hAnsi="Bookman Old Style" w:cs="Times New Roman"/>
          <w:color w:val="000000"/>
          <w:kern w:val="0"/>
          <w:sz w:val="28"/>
          <w:szCs w:val="28"/>
          <w:lang w:val="el-GR"/>
          <w14:ligatures w14:val="none"/>
        </w:rPr>
        <w:t>κ</w:t>
      </w:r>
      <w:r w:rsidR="00C07ED2" w:rsidRPr="0053721D">
        <w:rPr>
          <w:rFonts w:ascii="Bookman Old Style" w:eastAsia="Times New Roman" w:hAnsi="Bookman Old Style" w:cs="Times New Roman"/>
          <w:color w:val="000000"/>
          <w:kern w:val="0"/>
          <w:sz w:val="28"/>
          <w:szCs w:val="28"/>
          <w:lang w:val="el-GR"/>
          <w14:ligatures w14:val="none"/>
        </w:rPr>
        <w:t>ατώτερου Δικαστηρίου διαφαίνεται</w:t>
      </w:r>
      <w:r w:rsidR="00C07ED2">
        <w:rPr>
          <w:rFonts w:ascii="Bookman Old Style" w:eastAsia="Times New Roman" w:hAnsi="Bookman Old Style" w:cs="Times New Roman"/>
          <w:color w:val="000000"/>
          <w:kern w:val="0"/>
          <w:sz w:val="28"/>
          <w:szCs w:val="28"/>
          <w:lang w:val="el-GR"/>
          <w14:ligatures w14:val="none"/>
        </w:rPr>
        <w:t xml:space="preserve"> </w:t>
      </w:r>
      <w:r w:rsidR="00C07ED2" w:rsidRPr="0053721D">
        <w:rPr>
          <w:rFonts w:ascii="Bookman Old Style" w:eastAsia="Times New Roman" w:hAnsi="Bookman Old Style" w:cs="Times New Roman"/>
          <w:color w:val="000000"/>
          <w:kern w:val="0"/>
          <w:sz w:val="28"/>
          <w:szCs w:val="28"/>
          <w:lang w:val="el-GR"/>
          <w14:ligatures w14:val="none"/>
        </w:rPr>
        <w:t>έλλειψη ή υπέρβαση δικαιοδοσίας, έκδηλη νομική πλάνη, δόλος, προκατάληψη και μη τήρηση των κανόνων της φυσικής δικαιοσύνης (</w:t>
      </w:r>
      <w:r w:rsidR="0095329F">
        <w:rPr>
          <w:rFonts w:ascii="Bookman Old Style" w:eastAsia="Times New Roman" w:hAnsi="Bookman Old Style" w:cs="Times New Roman"/>
          <w:color w:val="000000"/>
          <w:kern w:val="0"/>
          <w:sz w:val="28"/>
          <w:szCs w:val="28"/>
          <w:lang w:val="el-GR"/>
          <w14:ligatures w14:val="none"/>
        </w:rPr>
        <w:t xml:space="preserve">βλ. σύγγραμμα </w:t>
      </w:r>
      <w:bookmarkStart w:id="6" w:name="_Hlk143675760"/>
      <w:r w:rsidR="00461151" w:rsidRPr="00FA354C">
        <w:rPr>
          <w:rFonts w:ascii="Bookman Old Style" w:eastAsia="Times New Roman" w:hAnsi="Bookman Old Style" w:cs="Times New Roman"/>
          <w:color w:val="000000"/>
          <w:kern w:val="0"/>
          <w:sz w:val="28"/>
          <w:szCs w:val="28"/>
          <w:lang w:val="el-GR"/>
          <w14:ligatures w14:val="none"/>
        </w:rPr>
        <w:t>Πέτρου Αρτέμη</w:t>
      </w:r>
      <w:r w:rsidR="00461151" w:rsidRPr="00FA354C">
        <w:rPr>
          <w:rFonts w:ascii="Bookman Old Style" w:eastAsia="Times New Roman" w:hAnsi="Bookman Old Style" w:cs="Times New Roman"/>
          <w:i/>
          <w:iCs/>
          <w:color w:val="000000"/>
          <w:kern w:val="0"/>
          <w:sz w:val="28"/>
          <w:szCs w:val="28"/>
          <w:lang w:val="el-GR"/>
          <w14:ligatures w14:val="none"/>
        </w:rPr>
        <w:t>,</w:t>
      </w:r>
      <w:r w:rsidR="00461151" w:rsidRPr="00461151">
        <w:rPr>
          <w:rFonts w:ascii="Bookman Old Style" w:eastAsia="Times New Roman" w:hAnsi="Bookman Old Style" w:cs="Times New Roman"/>
          <w:b/>
          <w:bCs/>
          <w:i/>
          <w:iCs/>
          <w:color w:val="000000"/>
          <w:kern w:val="0"/>
          <w:sz w:val="28"/>
          <w:szCs w:val="28"/>
          <w:lang w:val="el-GR"/>
          <w14:ligatures w14:val="none"/>
        </w:rPr>
        <w:t xml:space="preserve"> </w:t>
      </w:r>
      <w:r w:rsidR="00461151">
        <w:rPr>
          <w:rFonts w:ascii="Bookman Old Style" w:eastAsia="Times New Roman" w:hAnsi="Bookman Old Style" w:cs="Times New Roman"/>
          <w:b/>
          <w:bCs/>
          <w:i/>
          <w:iCs/>
          <w:color w:val="000000"/>
          <w:kern w:val="0"/>
          <w:sz w:val="28"/>
          <w:szCs w:val="28"/>
          <w:lang w:val="el-GR"/>
          <w14:ligatures w14:val="none"/>
        </w:rPr>
        <w:t>«</w:t>
      </w:r>
      <w:r w:rsidR="0095329F" w:rsidRPr="0095329F">
        <w:rPr>
          <w:rFonts w:ascii="Bookman Old Style" w:eastAsia="Times New Roman" w:hAnsi="Bookman Old Style" w:cs="Times New Roman"/>
          <w:b/>
          <w:bCs/>
          <w:i/>
          <w:iCs/>
          <w:color w:val="000000"/>
          <w:kern w:val="0"/>
          <w:sz w:val="28"/>
          <w:szCs w:val="28"/>
          <w:lang w:val="el-GR"/>
          <w14:ligatures w14:val="none"/>
        </w:rPr>
        <w:t>Προνομιακά Εντάλματα</w:t>
      </w:r>
      <w:r w:rsidR="0095329F" w:rsidRPr="0095329F">
        <w:rPr>
          <w:rFonts w:ascii="Bookman Old Style" w:eastAsia="Times New Roman" w:hAnsi="Bookman Old Style" w:cs="Times New Roman"/>
          <w:b/>
          <w:bCs/>
          <w:color w:val="000000"/>
          <w:kern w:val="0"/>
          <w:sz w:val="28"/>
          <w:szCs w:val="28"/>
          <w:lang w:val="el-GR"/>
          <w14:ligatures w14:val="none"/>
        </w:rPr>
        <w:t xml:space="preserve"> </w:t>
      </w:r>
      <w:r w:rsidR="00461151">
        <w:rPr>
          <w:rFonts w:ascii="Bookman Old Style" w:eastAsia="Times New Roman" w:hAnsi="Bookman Old Style" w:cs="Times New Roman"/>
          <w:b/>
          <w:bCs/>
          <w:color w:val="000000"/>
          <w:kern w:val="0"/>
          <w:sz w:val="28"/>
          <w:szCs w:val="28"/>
          <w:lang w:val="el-GR"/>
          <w14:ligatures w14:val="none"/>
        </w:rPr>
        <w:t xml:space="preserve">Αρχές και Υποθέσεις», </w:t>
      </w:r>
      <w:r w:rsidR="00461151" w:rsidRPr="00461151">
        <w:rPr>
          <w:rFonts w:ascii="Bookman Old Style" w:eastAsia="Times New Roman" w:hAnsi="Bookman Old Style" w:cs="Times New Roman"/>
          <w:color w:val="000000"/>
          <w:kern w:val="0"/>
          <w:sz w:val="28"/>
          <w:szCs w:val="28"/>
          <w:lang w:val="el-GR"/>
          <w14:ligatures w14:val="none"/>
        </w:rPr>
        <w:t xml:space="preserve">σελ. </w:t>
      </w:r>
      <w:bookmarkEnd w:id="6"/>
      <w:r w:rsidR="00461151" w:rsidRPr="00461151">
        <w:rPr>
          <w:rFonts w:ascii="Bookman Old Style" w:eastAsia="Times New Roman" w:hAnsi="Bookman Old Style" w:cs="Times New Roman"/>
          <w:color w:val="000000"/>
          <w:kern w:val="0"/>
          <w:sz w:val="28"/>
          <w:szCs w:val="28"/>
          <w:lang w:val="el-GR"/>
          <w14:ligatures w14:val="none"/>
        </w:rPr>
        <w:t xml:space="preserve">109 </w:t>
      </w:r>
      <w:proofErr w:type="spellStart"/>
      <w:r w:rsidR="00461151" w:rsidRPr="00461151">
        <w:rPr>
          <w:rFonts w:ascii="Bookman Old Style" w:eastAsia="Times New Roman" w:hAnsi="Bookman Old Style" w:cs="Times New Roman"/>
          <w:color w:val="000000"/>
          <w:kern w:val="0"/>
          <w:sz w:val="28"/>
          <w:szCs w:val="28"/>
          <w:lang w:val="el-GR"/>
          <w14:ligatures w14:val="none"/>
        </w:rPr>
        <w:t>κ.επ</w:t>
      </w:r>
      <w:proofErr w:type="spellEnd"/>
      <w:r w:rsidR="00461151" w:rsidRPr="00461151">
        <w:rPr>
          <w:rFonts w:ascii="Bookman Old Style" w:eastAsia="Times New Roman" w:hAnsi="Bookman Old Style" w:cs="Times New Roman"/>
          <w:color w:val="000000"/>
          <w:kern w:val="0"/>
          <w:sz w:val="28"/>
          <w:szCs w:val="28"/>
          <w:lang w:val="el-GR"/>
          <w14:ligatures w14:val="none"/>
        </w:rPr>
        <w:t>.</w:t>
      </w:r>
      <w:r w:rsidR="00461151">
        <w:rPr>
          <w:rFonts w:ascii="Bookman Old Style" w:eastAsia="Times New Roman" w:hAnsi="Bookman Old Style" w:cs="Times New Roman"/>
          <w:color w:val="000000"/>
          <w:kern w:val="0"/>
          <w:sz w:val="28"/>
          <w:szCs w:val="28"/>
          <w:lang w:val="el-GR"/>
          <w14:ligatures w14:val="none"/>
        </w:rPr>
        <w:t>,</w:t>
      </w:r>
      <w:r w:rsidR="00461151">
        <w:rPr>
          <w:rFonts w:ascii="Bookman Old Style" w:eastAsia="Times New Roman" w:hAnsi="Bookman Old Style" w:cs="Times New Roman"/>
          <w:b/>
          <w:b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Αίτηση του Κωνσταντινίδη (2003) 1 Α.Α.Δ. 1298</w:t>
      </w:r>
      <w:r w:rsidR="00496518">
        <w:rPr>
          <w:rFonts w:ascii="Bookman Old Style" w:eastAsia="Times New Roman" w:hAnsi="Bookman Old Style" w:cs="Times New Roman"/>
          <w:b/>
          <w:bCs/>
          <w:i/>
          <w:iCs/>
          <w:color w:val="000000"/>
          <w:kern w:val="0"/>
          <w:sz w:val="28"/>
          <w:szCs w:val="28"/>
          <w:lang w:val="el-GR"/>
          <w14:ligatures w14:val="none"/>
        </w:rPr>
        <w:t xml:space="preserve"> </w:t>
      </w:r>
      <w:r w:rsidR="00496518">
        <w:rPr>
          <w:rFonts w:ascii="Bookman Old Style" w:eastAsia="Times New Roman" w:hAnsi="Bookman Old Style" w:cs="Times New Roman"/>
          <w:color w:val="000000"/>
          <w:kern w:val="0"/>
          <w:sz w:val="28"/>
          <w:szCs w:val="28"/>
          <w:lang w:val="el-GR"/>
          <w14:ligatures w14:val="none"/>
        </w:rPr>
        <w:t>και</w:t>
      </w:r>
      <w:r w:rsidRPr="00F75AB7">
        <w:rPr>
          <w:rFonts w:ascii="Bookman Old Style" w:eastAsia="Times New Roman" w:hAnsi="Bookman Old Style" w:cs="Times New Roman"/>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lang w:val="en-GB"/>
          <w14:ligatures w14:val="none"/>
        </w:rPr>
        <w:t>Perrella</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(Αρ.2) (1995) 1 Α.Α.Δ. 692</w:t>
      </w:r>
      <w:r w:rsidR="00C07ED2" w:rsidRPr="0053721D">
        <w:rPr>
          <w:rFonts w:ascii="Bookman Old Style" w:eastAsia="Times New Roman" w:hAnsi="Bookman Old Style" w:cs="Times New Roman"/>
          <w:color w:val="000000"/>
          <w:kern w:val="0"/>
          <w:sz w:val="28"/>
          <w:szCs w:val="28"/>
          <w:lang w:val="el-GR"/>
          <w14:ligatures w14:val="none"/>
        </w:rPr>
        <w:t>).</w:t>
      </w:r>
      <w:r w:rsidR="00C07ED2" w:rsidRPr="008F0102">
        <w:rPr>
          <w:lang w:val="el-GR"/>
        </w:rPr>
        <w:t xml:space="preserve"> </w:t>
      </w:r>
      <w:r w:rsidR="00650AF3" w:rsidRPr="00650AF3">
        <w:rPr>
          <w:rFonts w:ascii="Bookman Old Style" w:hAnsi="Bookman Old Style"/>
          <w:sz w:val="28"/>
          <w:szCs w:val="28"/>
          <w:lang w:val="el-GR"/>
        </w:rPr>
        <w:t xml:space="preserve"> </w:t>
      </w:r>
      <w:r w:rsidR="00650AF3">
        <w:rPr>
          <w:rFonts w:ascii="Bookman Old Style" w:hAnsi="Bookman Old Style"/>
          <w:sz w:val="28"/>
          <w:szCs w:val="28"/>
          <w:lang w:val="el-GR"/>
        </w:rPr>
        <w:t>Α</w:t>
      </w:r>
      <w:r w:rsidR="00C07ED2" w:rsidRPr="00650AF3">
        <w:rPr>
          <w:rFonts w:ascii="Bookman Old Style" w:eastAsia="Times New Roman" w:hAnsi="Bookman Old Style" w:cs="Times New Roman"/>
          <w:color w:val="000000"/>
          <w:kern w:val="0"/>
          <w:sz w:val="28"/>
          <w:szCs w:val="28"/>
          <w:lang w:val="el-GR"/>
          <w14:ligatures w14:val="none"/>
        </w:rPr>
        <w:t xml:space="preserve">κόμη </w:t>
      </w:r>
      <w:r w:rsidR="00C07ED2" w:rsidRPr="0053721D">
        <w:rPr>
          <w:rFonts w:ascii="Bookman Old Style" w:eastAsia="Times New Roman" w:hAnsi="Bookman Old Style" w:cs="Times New Roman"/>
          <w:color w:val="000000"/>
          <w:kern w:val="0"/>
          <w:sz w:val="28"/>
          <w:szCs w:val="28"/>
          <w:lang w:val="el-GR"/>
          <w14:ligatures w14:val="none"/>
        </w:rPr>
        <w:t xml:space="preserve">και αν υπάρχει εκ πρώτης όψεως συζητήσιμη υπόθεση, </w:t>
      </w:r>
      <w:r w:rsidR="005F7E99">
        <w:rPr>
          <w:rFonts w:ascii="Bookman Old Style" w:hAnsi="Bookman Old Style"/>
          <w:sz w:val="28"/>
          <w:szCs w:val="28"/>
          <w:lang w:val="el-GR"/>
        </w:rPr>
        <w:t xml:space="preserve">ως κατ’ επανάληψη έχει διακηρυχθεί, </w:t>
      </w:r>
      <w:r w:rsidR="00C07ED2" w:rsidRPr="0053721D">
        <w:rPr>
          <w:rFonts w:ascii="Bookman Old Style" w:eastAsia="Times New Roman" w:hAnsi="Bookman Old Style" w:cs="Times New Roman"/>
          <w:color w:val="000000"/>
          <w:kern w:val="0"/>
          <w:sz w:val="28"/>
          <w:szCs w:val="28"/>
          <w:lang w:val="el-GR"/>
          <w14:ligatures w14:val="none"/>
        </w:rPr>
        <w:t xml:space="preserve">όπου προσφέρεται άλλο ένδικο μέσο ή θεραπεία, </w:t>
      </w:r>
      <w:r w:rsidR="00C07ED2">
        <w:rPr>
          <w:rFonts w:ascii="Bookman Old Style" w:eastAsia="Times New Roman" w:hAnsi="Bookman Old Style" w:cs="Times New Roman"/>
          <w:color w:val="000000"/>
          <w:kern w:val="0"/>
          <w:sz w:val="28"/>
          <w:szCs w:val="28"/>
          <w:lang w:val="el-GR"/>
          <w14:ligatures w14:val="none"/>
        </w:rPr>
        <w:t xml:space="preserve">(συνήθως αυτό της έφεσης) </w:t>
      </w:r>
      <w:r w:rsidR="00496518">
        <w:rPr>
          <w:rFonts w:ascii="Bookman Old Style" w:eastAsia="Times New Roman" w:hAnsi="Bookman Old Style" w:cs="Times New Roman"/>
          <w:color w:val="000000"/>
          <w:kern w:val="0"/>
          <w:sz w:val="28"/>
          <w:szCs w:val="28"/>
          <w:lang w:val="el-GR"/>
          <w14:ligatures w14:val="none"/>
        </w:rPr>
        <w:t xml:space="preserve">τέτοια </w:t>
      </w:r>
      <w:r w:rsidR="00496518" w:rsidRPr="0053721D">
        <w:rPr>
          <w:rFonts w:ascii="Bookman Old Style" w:eastAsia="Times New Roman" w:hAnsi="Bookman Old Style" w:cs="Times New Roman"/>
          <w:color w:val="000000"/>
          <w:kern w:val="0"/>
          <w:sz w:val="28"/>
          <w:szCs w:val="28"/>
          <w:lang w:val="el-GR"/>
          <w14:ligatures w14:val="none"/>
        </w:rPr>
        <w:t>άδεια δεν δίδεται</w:t>
      </w:r>
      <w:r w:rsidR="00496518">
        <w:rPr>
          <w:rFonts w:ascii="Bookman Old Style" w:eastAsia="Times New Roman" w:hAnsi="Bookman Old Style" w:cs="Times New Roman"/>
          <w:color w:val="000000"/>
          <w:kern w:val="0"/>
          <w:sz w:val="28"/>
          <w:szCs w:val="28"/>
          <w:lang w:val="el-GR"/>
          <w14:ligatures w14:val="none"/>
        </w:rPr>
        <w:t>,</w:t>
      </w:r>
      <w:r w:rsidR="00496518" w:rsidRPr="0053721D">
        <w:rPr>
          <w:rFonts w:ascii="Bookman Old Style" w:eastAsia="Times New Roman" w:hAnsi="Bookman Old Style" w:cs="Times New Roman"/>
          <w:color w:val="000000"/>
          <w:kern w:val="0"/>
          <w:sz w:val="28"/>
          <w:szCs w:val="28"/>
          <w:lang w:val="el-GR"/>
          <w14:ligatures w14:val="none"/>
        </w:rPr>
        <w:t xml:space="preserve"> </w:t>
      </w:r>
      <w:r w:rsidR="00C07ED2" w:rsidRPr="0053721D">
        <w:rPr>
          <w:rFonts w:ascii="Bookman Old Style" w:eastAsia="Times New Roman" w:hAnsi="Bookman Old Style" w:cs="Times New Roman"/>
          <w:color w:val="000000"/>
          <w:kern w:val="0"/>
          <w:sz w:val="28"/>
          <w:szCs w:val="28"/>
          <w:lang w:val="el-GR"/>
          <w14:ligatures w14:val="none"/>
        </w:rPr>
        <w:t>εκτός και αν καταδειχθούν</w:t>
      </w:r>
      <w:r w:rsidR="00C07ED2">
        <w:rPr>
          <w:rFonts w:ascii="Bookman Old Style" w:eastAsia="Times New Roman" w:hAnsi="Bookman Old Style" w:cs="Times New Roman"/>
          <w:color w:val="000000"/>
          <w:kern w:val="0"/>
          <w:sz w:val="28"/>
          <w:szCs w:val="28"/>
          <w:lang w:val="el-GR"/>
          <w14:ligatures w14:val="none"/>
        </w:rPr>
        <w:t>, με επάρκεια,</w:t>
      </w:r>
      <w:r w:rsidR="00C07ED2" w:rsidRPr="0053721D">
        <w:rPr>
          <w:rFonts w:ascii="Bookman Old Style" w:eastAsia="Times New Roman" w:hAnsi="Bookman Old Style" w:cs="Times New Roman"/>
          <w:color w:val="000000"/>
          <w:kern w:val="0"/>
          <w:sz w:val="28"/>
          <w:szCs w:val="28"/>
          <w:lang w:val="el-GR"/>
          <w14:ligatures w14:val="none"/>
        </w:rPr>
        <w:t xml:space="preserve"> εξαιρετικές περιστάσεις για παρέκκλιση </w:t>
      </w:r>
      <w:r w:rsidR="00C07ED2">
        <w:rPr>
          <w:rFonts w:ascii="Bookman Old Style" w:eastAsia="Times New Roman" w:hAnsi="Bookman Old Style" w:cs="Times New Roman"/>
          <w:color w:val="000000"/>
          <w:kern w:val="0"/>
          <w:sz w:val="28"/>
          <w:szCs w:val="28"/>
          <w:lang w:val="el-GR"/>
          <w14:ligatures w14:val="none"/>
        </w:rPr>
        <w:t xml:space="preserve">από τον πιο πάνω κανόνα </w:t>
      </w:r>
      <w:r w:rsidR="00C07ED2" w:rsidRPr="009C0DEF">
        <w:rPr>
          <w:rFonts w:ascii="Bookman Old Style" w:eastAsia="Times New Roman" w:hAnsi="Bookman Old Style" w:cs="Times New Roman"/>
          <w:color w:val="000000"/>
          <w:kern w:val="0"/>
          <w:sz w:val="28"/>
          <w:szCs w:val="28"/>
          <w:lang w:val="el-GR"/>
          <w14:ligatures w14:val="none"/>
        </w:rPr>
        <w:t>(</w:t>
      </w:r>
      <w:r w:rsidR="00C07ED2">
        <w:rPr>
          <w:rFonts w:ascii="Bookman Old Style" w:eastAsia="Times New Roman" w:hAnsi="Bookman Old Style" w:cs="Times New Roman"/>
          <w:b/>
          <w:bCs/>
          <w:color w:val="000000"/>
          <w:kern w:val="0"/>
          <w:sz w:val="28"/>
          <w:szCs w:val="28"/>
          <w:lang w:val="el-GR"/>
          <w14:ligatures w14:val="none"/>
        </w:rPr>
        <w:t>Ανθίμου</w:t>
      </w:r>
      <w:r w:rsidR="00C07ED2" w:rsidRPr="009C0DEF">
        <w:rPr>
          <w:rFonts w:ascii="Bookman Old Style" w:eastAsia="Times New Roman" w:hAnsi="Bookman Old Style" w:cs="Times New Roman"/>
          <w:b/>
          <w:bCs/>
          <w:color w:val="000000"/>
          <w:kern w:val="0"/>
          <w:sz w:val="28"/>
          <w:szCs w:val="28"/>
          <w:lang w:val="el-GR"/>
          <w14:ligatures w14:val="none"/>
        </w:rPr>
        <w:t xml:space="preserve"> (1991) 1 </w:t>
      </w:r>
      <w:r w:rsidR="00C07ED2">
        <w:rPr>
          <w:rFonts w:ascii="Bookman Old Style" w:eastAsia="Times New Roman" w:hAnsi="Bookman Old Style" w:cs="Times New Roman"/>
          <w:b/>
          <w:bCs/>
          <w:color w:val="000000"/>
          <w:kern w:val="0"/>
          <w:sz w:val="28"/>
          <w:szCs w:val="28"/>
          <w:lang w:val="el-GR"/>
          <w14:ligatures w14:val="none"/>
        </w:rPr>
        <w:t>Α</w:t>
      </w:r>
      <w:r w:rsidR="00C07ED2" w:rsidRPr="009C0DEF">
        <w:rPr>
          <w:rFonts w:ascii="Bookman Old Style" w:eastAsia="Times New Roman" w:hAnsi="Bookman Old Style" w:cs="Times New Roman"/>
          <w:b/>
          <w:bCs/>
          <w:color w:val="000000"/>
          <w:kern w:val="0"/>
          <w:sz w:val="28"/>
          <w:szCs w:val="28"/>
          <w:lang w:val="el-GR"/>
          <w14:ligatures w14:val="none"/>
        </w:rPr>
        <w:t>.</w:t>
      </w:r>
      <w:r w:rsidR="00C07ED2">
        <w:rPr>
          <w:rFonts w:ascii="Bookman Old Style" w:eastAsia="Times New Roman" w:hAnsi="Bookman Old Style" w:cs="Times New Roman"/>
          <w:b/>
          <w:bCs/>
          <w:color w:val="000000"/>
          <w:kern w:val="0"/>
          <w:sz w:val="28"/>
          <w:szCs w:val="28"/>
          <w:lang w:val="el-GR"/>
          <w14:ligatures w14:val="none"/>
        </w:rPr>
        <w:t>Α</w:t>
      </w:r>
      <w:r w:rsidR="00C07ED2" w:rsidRPr="009C0DEF">
        <w:rPr>
          <w:rFonts w:ascii="Bookman Old Style" w:eastAsia="Times New Roman" w:hAnsi="Bookman Old Style" w:cs="Times New Roman"/>
          <w:b/>
          <w:bCs/>
          <w:color w:val="000000"/>
          <w:kern w:val="0"/>
          <w:sz w:val="28"/>
          <w:szCs w:val="28"/>
          <w:lang w:val="el-GR"/>
          <w14:ligatures w14:val="none"/>
        </w:rPr>
        <w:t>.</w:t>
      </w:r>
      <w:r w:rsidR="00C07ED2">
        <w:rPr>
          <w:rFonts w:ascii="Bookman Old Style" w:eastAsia="Times New Roman" w:hAnsi="Bookman Old Style" w:cs="Times New Roman"/>
          <w:b/>
          <w:bCs/>
          <w:color w:val="000000"/>
          <w:kern w:val="0"/>
          <w:sz w:val="28"/>
          <w:szCs w:val="28"/>
          <w:lang w:val="el-GR"/>
          <w14:ligatures w14:val="none"/>
        </w:rPr>
        <w:t>Δ</w:t>
      </w:r>
      <w:r w:rsidR="00C07ED2" w:rsidRPr="009C0DEF">
        <w:rPr>
          <w:rFonts w:ascii="Bookman Old Style" w:eastAsia="Times New Roman" w:hAnsi="Bookman Old Style" w:cs="Times New Roman"/>
          <w:b/>
          <w:bCs/>
          <w:color w:val="000000"/>
          <w:kern w:val="0"/>
          <w:sz w:val="28"/>
          <w:szCs w:val="28"/>
          <w:lang w:val="el-GR"/>
          <w14:ligatures w14:val="none"/>
        </w:rPr>
        <w:t>. 41,</w:t>
      </w:r>
      <w:r w:rsidR="009C0DEF" w:rsidRPr="009C0DEF">
        <w:rPr>
          <w:rFonts w:ascii="Bookman Old Style" w:eastAsia="Times New Roman" w:hAnsi="Bookman Old Style" w:cs="Times New Roman"/>
          <w:b/>
          <w:bCs/>
          <w:color w:val="000000"/>
          <w:kern w:val="0"/>
          <w:sz w:val="28"/>
          <w:szCs w:val="28"/>
          <w:lang w:val="el-GR"/>
          <w14:ligatures w14:val="none"/>
        </w:rPr>
        <w:t xml:space="preserve"> </w:t>
      </w:r>
      <w:proofErr w:type="spellStart"/>
      <w:r w:rsidR="009C0DEF" w:rsidRPr="001C0C7E">
        <w:rPr>
          <w:rFonts w:ascii="Bookman Old Style" w:eastAsia="Times New Roman" w:hAnsi="Bookman Old Style" w:cs="Times New Roman"/>
          <w:b/>
          <w:bCs/>
          <w:i/>
          <w:iCs/>
          <w:color w:val="000000"/>
          <w:kern w:val="0"/>
          <w:sz w:val="28"/>
          <w:szCs w:val="28"/>
          <w14:ligatures w14:val="none"/>
        </w:rPr>
        <w:t>Hellenger</w:t>
      </w:r>
      <w:proofErr w:type="spellEnd"/>
      <w:r w:rsidR="009C0DEF" w:rsidRPr="001C0C7E">
        <w:rPr>
          <w:rFonts w:ascii="Bookman Old Style" w:eastAsia="Times New Roman" w:hAnsi="Bookman Old Style" w:cs="Times New Roman"/>
          <w:b/>
          <w:bCs/>
          <w:i/>
          <w:iCs/>
          <w:color w:val="000000"/>
          <w:kern w:val="0"/>
          <w:sz w:val="28"/>
          <w:szCs w:val="28"/>
          <w:lang w:val="el-GR"/>
          <w14:ligatures w14:val="none"/>
        </w:rPr>
        <w:t xml:space="preserve"> </w:t>
      </w:r>
      <w:r w:rsidR="009C0DEF" w:rsidRPr="001C0C7E">
        <w:rPr>
          <w:rFonts w:ascii="Bookman Old Style" w:eastAsia="Times New Roman" w:hAnsi="Bookman Old Style" w:cs="Times New Roman"/>
          <w:b/>
          <w:bCs/>
          <w:i/>
          <w:iCs/>
          <w:color w:val="000000"/>
          <w:kern w:val="0"/>
          <w:sz w:val="28"/>
          <w:szCs w:val="28"/>
          <w14:ligatures w14:val="none"/>
        </w:rPr>
        <w:t>T</w:t>
      </w:r>
      <w:r w:rsidR="001C0C7E" w:rsidRPr="001C0C7E">
        <w:rPr>
          <w:rFonts w:ascii="Bookman Old Style" w:eastAsia="Times New Roman" w:hAnsi="Bookman Old Style" w:cs="Times New Roman"/>
          <w:b/>
          <w:bCs/>
          <w:i/>
          <w:iCs/>
          <w:color w:val="000000"/>
          <w:kern w:val="0"/>
          <w:sz w:val="28"/>
          <w:szCs w:val="28"/>
          <w14:ligatures w14:val="none"/>
        </w:rPr>
        <w:t>rading</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lang w:val="en-GB"/>
          <w14:ligatures w14:val="none"/>
        </w:rPr>
        <w:t>Ltd</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9C0DEF">
        <w:rPr>
          <w:rFonts w:ascii="Bookman Old Style" w:eastAsia="Times New Roman" w:hAnsi="Bookman Old Style" w:cs="Times New Roman"/>
          <w:b/>
          <w:bCs/>
          <w:i/>
          <w:iCs/>
          <w:color w:val="000000"/>
          <w:kern w:val="0"/>
          <w:sz w:val="28"/>
          <w:szCs w:val="28"/>
          <w:lang w:val="el-GR"/>
          <w14:ligatures w14:val="none"/>
        </w:rPr>
        <w:t xml:space="preserve">(2000) 1 </w:t>
      </w:r>
      <w:r w:rsidR="00C07ED2" w:rsidRPr="0053721D">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Δ</w:t>
      </w:r>
      <w:r w:rsidR="00C07ED2" w:rsidRPr="009C0DEF">
        <w:rPr>
          <w:rFonts w:ascii="Bookman Old Style" w:eastAsia="Times New Roman" w:hAnsi="Bookman Old Style" w:cs="Times New Roman"/>
          <w:b/>
          <w:bCs/>
          <w:i/>
          <w:iCs/>
          <w:color w:val="000000"/>
          <w:kern w:val="0"/>
          <w:sz w:val="28"/>
          <w:szCs w:val="28"/>
          <w:lang w:val="el-GR"/>
          <w14:ligatures w14:val="none"/>
        </w:rPr>
        <w:t>. 1965,</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lang w:val="en-GB"/>
          <w14:ligatures w14:val="none"/>
        </w:rPr>
        <w:t>xxx</w:t>
      </w:r>
      <w:r w:rsidRPr="00F75AB7">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C07ED2" w:rsidRPr="0053721D">
        <w:rPr>
          <w:rFonts w:ascii="Bookman Old Style" w:eastAsia="Times New Roman" w:hAnsi="Bookman Old Style" w:cs="Times New Roman"/>
          <w:b/>
          <w:bCs/>
          <w:i/>
          <w:iCs/>
          <w:color w:val="000000"/>
          <w:kern w:val="0"/>
          <w:sz w:val="28"/>
          <w:szCs w:val="28"/>
          <w:lang w:val="el-GR"/>
          <w14:ligatures w14:val="none"/>
        </w:rPr>
        <w:t>Μαρκίδης</w:t>
      </w:r>
      <w:proofErr w:type="spellEnd"/>
      <w:r w:rsidR="00496518" w:rsidRPr="009C0DEF">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C07ED2">
        <w:rPr>
          <w:rFonts w:ascii="Bookman Old Style" w:eastAsia="Times New Roman" w:hAnsi="Bookman Old Style" w:cs="Times New Roman"/>
          <w:b/>
          <w:bCs/>
          <w:i/>
          <w:iCs/>
          <w:color w:val="000000"/>
          <w:kern w:val="0"/>
          <w:sz w:val="28"/>
          <w:szCs w:val="28"/>
          <w:lang w:val="el-GR"/>
          <w14:ligatures w14:val="none"/>
        </w:rPr>
        <w:t>κ</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α</w:t>
      </w:r>
      <w:proofErr w:type="spellEnd"/>
      <w:r w:rsidR="00C07ED2" w:rsidRPr="009C0DEF">
        <w:rPr>
          <w:rFonts w:ascii="Bookman Old Style" w:eastAsia="Times New Roman" w:hAnsi="Bookman Old Style" w:cs="Times New Roman"/>
          <w:b/>
          <w:bCs/>
          <w:i/>
          <w:iCs/>
          <w:color w:val="000000"/>
          <w:kern w:val="0"/>
          <w:sz w:val="28"/>
          <w:szCs w:val="28"/>
          <w:lang w:val="el-GR"/>
          <w14:ligatures w14:val="none"/>
        </w:rPr>
        <w:t xml:space="preserve"> (2004) 1 </w:t>
      </w:r>
      <w:r w:rsidR="00C07ED2">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Δ</w:t>
      </w:r>
      <w:r w:rsidR="00C07ED2" w:rsidRPr="009C0DEF">
        <w:rPr>
          <w:rFonts w:ascii="Bookman Old Style" w:eastAsia="Times New Roman" w:hAnsi="Bookman Old Style" w:cs="Times New Roman"/>
          <w:b/>
          <w:bCs/>
          <w:i/>
          <w:iCs/>
          <w:color w:val="000000"/>
          <w:kern w:val="0"/>
          <w:sz w:val="28"/>
          <w:szCs w:val="28"/>
          <w:lang w:val="el-GR"/>
          <w14:ligatures w14:val="none"/>
        </w:rPr>
        <w:t>. 552,</w:t>
      </w:r>
      <w:r w:rsidR="009C0DEF" w:rsidRPr="009C0DEF">
        <w:rPr>
          <w:rFonts w:ascii="Bookman Old Style" w:eastAsia="Times New Roman" w:hAnsi="Bookman Old Style" w:cs="Times New Roman"/>
          <w:b/>
          <w:bCs/>
          <w:i/>
          <w:iCs/>
          <w:color w:val="000000"/>
          <w:kern w:val="0"/>
          <w:sz w:val="28"/>
          <w:szCs w:val="28"/>
          <w:lang w:val="el-GR"/>
          <w14:ligatures w14:val="none"/>
        </w:rPr>
        <w:t xml:space="preserve"> </w:t>
      </w:r>
      <w:r w:rsidR="009C0DEF">
        <w:rPr>
          <w:rFonts w:ascii="Bookman Old Style" w:eastAsia="Times New Roman" w:hAnsi="Bookman Old Style" w:cs="Times New Roman"/>
          <w:b/>
          <w:bCs/>
          <w:i/>
          <w:iCs/>
          <w:color w:val="000000"/>
          <w:kern w:val="0"/>
          <w:sz w:val="28"/>
          <w:szCs w:val="28"/>
          <w14:ligatures w14:val="none"/>
        </w:rPr>
        <w:t>Base</w:t>
      </w:r>
      <w:r w:rsidR="009C0DEF" w:rsidRPr="009C0DEF">
        <w:rPr>
          <w:rFonts w:ascii="Bookman Old Style" w:eastAsia="Times New Roman" w:hAnsi="Bookman Old Style" w:cs="Times New Roman"/>
          <w:b/>
          <w:bCs/>
          <w:i/>
          <w:iCs/>
          <w:color w:val="000000"/>
          <w:kern w:val="0"/>
          <w:sz w:val="28"/>
          <w:szCs w:val="28"/>
          <w:lang w:val="el-GR"/>
          <w14:ligatures w14:val="none"/>
        </w:rPr>
        <w:t xml:space="preserve"> </w:t>
      </w:r>
      <w:r w:rsidR="009C0DEF">
        <w:rPr>
          <w:rFonts w:ascii="Bookman Old Style" w:eastAsia="Times New Roman" w:hAnsi="Bookman Old Style" w:cs="Times New Roman"/>
          <w:b/>
          <w:bCs/>
          <w:i/>
          <w:iCs/>
          <w:color w:val="000000"/>
          <w:kern w:val="0"/>
          <w:sz w:val="28"/>
          <w:szCs w:val="28"/>
          <w14:ligatures w14:val="none"/>
        </w:rPr>
        <w:t>Metal</w:t>
      </w:r>
      <w:r w:rsidR="009C0DEF" w:rsidRPr="009C0DEF">
        <w:rPr>
          <w:rFonts w:ascii="Bookman Old Style" w:eastAsia="Times New Roman" w:hAnsi="Bookman Old Style" w:cs="Times New Roman"/>
          <w:b/>
          <w:bCs/>
          <w:i/>
          <w:iCs/>
          <w:color w:val="000000"/>
          <w:kern w:val="0"/>
          <w:sz w:val="28"/>
          <w:szCs w:val="28"/>
          <w:lang w:val="el-GR"/>
          <w14:ligatures w14:val="none"/>
        </w:rPr>
        <w:t xml:space="preserve"> </w:t>
      </w:r>
      <w:r w:rsidR="009C0DEF">
        <w:rPr>
          <w:rFonts w:ascii="Bookman Old Style" w:eastAsia="Times New Roman" w:hAnsi="Bookman Old Style" w:cs="Times New Roman"/>
          <w:b/>
          <w:bCs/>
          <w:i/>
          <w:iCs/>
          <w:color w:val="000000"/>
          <w:kern w:val="0"/>
          <w:sz w:val="28"/>
          <w:szCs w:val="28"/>
          <w14:ligatures w14:val="none"/>
        </w:rPr>
        <w:t>Trading</w:t>
      </w:r>
      <w:r w:rsidR="009C0DEF" w:rsidRPr="009C0DEF">
        <w:rPr>
          <w:rFonts w:ascii="Bookman Old Style" w:eastAsia="Times New Roman" w:hAnsi="Bookman Old Style" w:cs="Times New Roman"/>
          <w:b/>
          <w:bCs/>
          <w:i/>
          <w:iCs/>
          <w:color w:val="000000"/>
          <w:kern w:val="0"/>
          <w:sz w:val="28"/>
          <w:szCs w:val="28"/>
          <w:lang w:val="el-GR"/>
          <w14:ligatures w14:val="none"/>
        </w:rPr>
        <w:t xml:space="preserve"> </w:t>
      </w:r>
      <w:r w:rsidR="009C0DEF">
        <w:rPr>
          <w:rFonts w:ascii="Bookman Old Style" w:eastAsia="Times New Roman" w:hAnsi="Bookman Old Style" w:cs="Times New Roman"/>
          <w:b/>
          <w:bCs/>
          <w:i/>
          <w:iCs/>
          <w:color w:val="000000"/>
          <w:kern w:val="0"/>
          <w:sz w:val="28"/>
          <w:szCs w:val="28"/>
          <w14:ligatures w14:val="none"/>
        </w:rPr>
        <w:t>Ltd</w:t>
      </w:r>
      <w:r w:rsidR="009C0DEF" w:rsidRPr="009C0DEF">
        <w:rPr>
          <w:rFonts w:ascii="Bookman Old Style" w:eastAsia="Times New Roman" w:hAnsi="Bookman Old Style" w:cs="Times New Roman"/>
          <w:b/>
          <w:bCs/>
          <w:i/>
          <w:iCs/>
          <w:color w:val="000000"/>
          <w:kern w:val="0"/>
          <w:sz w:val="28"/>
          <w:szCs w:val="28"/>
          <w:lang w:val="el-GR"/>
          <w14:ligatures w14:val="none"/>
        </w:rPr>
        <w:t xml:space="preserve"> </w:t>
      </w:r>
      <w:r w:rsidR="009C0DEF">
        <w:rPr>
          <w:rFonts w:ascii="Bookman Old Style" w:eastAsia="Times New Roman" w:hAnsi="Bookman Old Style" w:cs="Times New Roman"/>
          <w:b/>
          <w:bCs/>
          <w:i/>
          <w:iCs/>
          <w:color w:val="000000"/>
          <w:kern w:val="0"/>
          <w:sz w:val="28"/>
          <w:szCs w:val="28"/>
          <w14:ligatures w14:val="none"/>
        </w:rPr>
        <w:t>v</w:t>
      </w:r>
      <w:r w:rsidR="009C0DEF" w:rsidRPr="009C0DEF">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9C0DEF">
        <w:rPr>
          <w:rFonts w:ascii="Bookman Old Style" w:eastAsia="Times New Roman" w:hAnsi="Bookman Old Style" w:cs="Times New Roman"/>
          <w:b/>
          <w:bCs/>
          <w:i/>
          <w:iCs/>
          <w:color w:val="000000"/>
          <w:kern w:val="0"/>
          <w:sz w:val="28"/>
          <w:szCs w:val="28"/>
          <w14:ligatures w14:val="none"/>
        </w:rPr>
        <w:t>Fastact</w:t>
      </w:r>
      <w:proofErr w:type="spellEnd"/>
      <w:r w:rsidR="009C0DEF" w:rsidRPr="009C0DEF">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9C0DEF">
        <w:rPr>
          <w:rFonts w:ascii="Bookman Old Style" w:eastAsia="Times New Roman" w:hAnsi="Bookman Old Style" w:cs="Times New Roman"/>
          <w:b/>
          <w:bCs/>
          <w:i/>
          <w:iCs/>
          <w:color w:val="000000"/>
          <w:kern w:val="0"/>
          <w:sz w:val="28"/>
          <w:szCs w:val="28"/>
          <w14:ligatures w14:val="none"/>
        </w:rPr>
        <w:t>Devel</w:t>
      </w:r>
      <w:proofErr w:type="spellEnd"/>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lang w:val="en-GB"/>
          <w14:ligatures w14:val="none"/>
        </w:rPr>
        <w:t>Developments</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lang w:val="en-GB"/>
          <w14:ligatures w14:val="none"/>
        </w:rPr>
        <w:t>Ltd</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κ</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ά</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(2004) 1 </w:t>
      </w:r>
      <w:r w:rsidR="00C07ED2" w:rsidRPr="0053721D">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Δ</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1535 </w:t>
      </w:r>
      <w:r w:rsidR="00C07ED2">
        <w:rPr>
          <w:rFonts w:ascii="Bookman Old Style" w:eastAsia="Times New Roman" w:hAnsi="Bookman Old Style" w:cs="Times New Roman"/>
          <w:b/>
          <w:bCs/>
          <w:i/>
          <w:iCs/>
          <w:color w:val="000000"/>
          <w:kern w:val="0"/>
          <w:sz w:val="28"/>
          <w:szCs w:val="28"/>
          <w:lang w:val="el-GR"/>
          <w14:ligatures w14:val="none"/>
        </w:rPr>
        <w:t>Τράπεζα</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lang w:val="el-GR"/>
          <w14:ligatures w14:val="none"/>
        </w:rPr>
        <w:t>Κύπρου</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lang w:val="el-GR"/>
          <w14:ligatures w14:val="none"/>
        </w:rPr>
        <w:t>Δημόσια</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lang w:val="el-GR"/>
          <w14:ligatures w14:val="none"/>
        </w:rPr>
        <w:t>Εταιρεία</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lang w:val="el-GR"/>
          <w14:ligatures w14:val="none"/>
        </w:rPr>
        <w:t>Λτδ</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lang w:val="el-GR"/>
          <w14:ligatures w14:val="none"/>
        </w:rPr>
        <w:t>κ</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 xml:space="preserve">. (2012)1 </w:t>
      </w:r>
      <w:r w:rsidR="00C07ED2">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Α</w:t>
      </w:r>
      <w:r w:rsidR="00C07ED2" w:rsidRPr="009C0DEF">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Δ</w:t>
      </w:r>
      <w:r w:rsidR="00C07ED2" w:rsidRPr="009C0DEF">
        <w:rPr>
          <w:rFonts w:ascii="Bookman Old Style" w:eastAsia="Times New Roman" w:hAnsi="Bookman Old Style" w:cs="Times New Roman"/>
          <w:b/>
          <w:bCs/>
          <w:i/>
          <w:iCs/>
          <w:color w:val="000000"/>
          <w:kern w:val="0"/>
          <w:sz w:val="28"/>
          <w:szCs w:val="28"/>
          <w:lang w:val="el-GR"/>
          <w14:ligatures w14:val="none"/>
        </w:rPr>
        <w:t>. 878</w:t>
      </w:r>
      <w:r w:rsidR="00C07ED2" w:rsidRPr="009C0DEF">
        <w:rPr>
          <w:rFonts w:ascii="Bookman Old Style" w:eastAsia="Times New Roman" w:hAnsi="Bookman Old Style" w:cs="Times New Roman"/>
          <w:color w:val="000000"/>
          <w:kern w:val="0"/>
          <w:sz w:val="28"/>
          <w:szCs w:val="28"/>
          <w:lang w:val="el-GR"/>
          <w14:ligatures w14:val="none"/>
        </w:rPr>
        <w:t>).</w:t>
      </w:r>
    </w:p>
    <w:p w14:paraId="6A80BAE2" w14:textId="77777777" w:rsidR="00C07ED2" w:rsidRPr="009C0DEF" w:rsidRDefault="00C07ED2" w:rsidP="00F75AB7">
      <w:pPr>
        <w:spacing w:after="0" w:line="240" w:lineRule="auto"/>
        <w:jc w:val="both"/>
        <w:rPr>
          <w:rFonts w:ascii="Bookman Old Style" w:eastAsia="Times New Roman" w:hAnsi="Bookman Old Style" w:cs="Times New Roman"/>
          <w:color w:val="000000"/>
          <w:kern w:val="0"/>
          <w:sz w:val="28"/>
          <w:szCs w:val="28"/>
          <w:lang w:val="el-GR"/>
          <w14:ligatures w14:val="none"/>
        </w:rPr>
      </w:pPr>
      <w:r w:rsidRPr="001A6FD1">
        <w:rPr>
          <w:rFonts w:ascii="Bookman Old Style" w:eastAsia="Times New Roman" w:hAnsi="Bookman Old Style" w:cs="Times New Roman"/>
          <w:color w:val="000000"/>
          <w:kern w:val="0"/>
          <w:sz w:val="28"/>
          <w:szCs w:val="28"/>
          <w14:ligatures w14:val="none"/>
        </w:rPr>
        <w:t> </w:t>
      </w:r>
    </w:p>
    <w:p w14:paraId="5ACB3C4C" w14:textId="22C7D8D4" w:rsidR="00C07ED2" w:rsidRPr="00D95CAD" w:rsidRDefault="00F75AB7" w:rsidP="00F75AB7">
      <w:pPr>
        <w:tabs>
          <w:tab w:val="left" w:pos="567"/>
        </w:tabs>
        <w:spacing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sidR="00C07ED2" w:rsidRPr="0053721D">
        <w:rPr>
          <w:rFonts w:ascii="Bookman Old Style" w:eastAsia="Times New Roman" w:hAnsi="Bookman Old Style" w:cs="Times New Roman"/>
          <w:color w:val="000000"/>
          <w:kern w:val="0"/>
          <w:sz w:val="28"/>
          <w:szCs w:val="28"/>
          <w:lang w:val="el-GR"/>
          <w14:ligatures w14:val="none"/>
        </w:rPr>
        <w:t xml:space="preserve">Η εξουσία του </w:t>
      </w:r>
      <w:r w:rsidR="001F6C31" w:rsidRPr="0053721D">
        <w:rPr>
          <w:rFonts w:ascii="Bookman Old Style" w:eastAsia="Times New Roman" w:hAnsi="Bookman Old Style" w:cs="Times New Roman"/>
          <w:color w:val="000000"/>
          <w:kern w:val="0"/>
          <w:sz w:val="28"/>
          <w:szCs w:val="28"/>
          <w:lang w:val="el-GR"/>
          <w14:ligatures w14:val="none"/>
        </w:rPr>
        <w:t>Ανώτατου</w:t>
      </w:r>
      <w:r w:rsidR="00C07ED2" w:rsidRPr="0053721D">
        <w:rPr>
          <w:rFonts w:ascii="Bookman Old Style" w:eastAsia="Times New Roman" w:hAnsi="Bookman Old Style" w:cs="Times New Roman"/>
          <w:color w:val="000000"/>
          <w:kern w:val="0"/>
          <w:sz w:val="28"/>
          <w:szCs w:val="28"/>
          <w:lang w:val="el-GR"/>
          <w14:ligatures w14:val="none"/>
        </w:rPr>
        <w:t xml:space="preserve"> Δικαστηρίου να εκδίδει προνομιακά εντάλματα</w:t>
      </w:r>
      <w:r w:rsidR="00C07ED2">
        <w:rPr>
          <w:rFonts w:ascii="Bookman Old Style" w:eastAsia="Times New Roman" w:hAnsi="Bookman Old Style" w:cs="Times New Roman"/>
          <w:color w:val="000000"/>
          <w:kern w:val="0"/>
          <w:sz w:val="28"/>
          <w:szCs w:val="28"/>
          <w:lang w:val="el-GR"/>
          <w14:ligatures w14:val="none"/>
        </w:rPr>
        <w:t>,</w:t>
      </w:r>
      <w:r w:rsidR="00C07ED2" w:rsidRPr="0053721D">
        <w:rPr>
          <w:rFonts w:ascii="Bookman Old Style" w:eastAsia="Times New Roman" w:hAnsi="Bookman Old Style" w:cs="Times New Roman"/>
          <w:color w:val="000000"/>
          <w:kern w:val="0"/>
          <w:sz w:val="28"/>
          <w:szCs w:val="28"/>
          <w:lang w:val="el-GR"/>
          <w14:ligatures w14:val="none"/>
        </w:rPr>
        <w:t xml:space="preserve"> δεν έχει ως αντικείμενο </w:t>
      </w:r>
      <w:r w:rsidR="00C07ED2">
        <w:rPr>
          <w:rFonts w:ascii="Bookman Old Style" w:eastAsia="Times New Roman" w:hAnsi="Bookman Old Style" w:cs="Times New Roman"/>
          <w:color w:val="000000"/>
          <w:kern w:val="0"/>
          <w:sz w:val="28"/>
          <w:szCs w:val="28"/>
          <w:lang w:val="el-GR"/>
          <w14:ligatures w14:val="none"/>
        </w:rPr>
        <w:t xml:space="preserve">την </w:t>
      </w:r>
      <w:r w:rsidR="00C07ED2" w:rsidRPr="0053721D">
        <w:rPr>
          <w:rFonts w:ascii="Bookman Old Style" w:eastAsia="Times New Roman" w:hAnsi="Bookman Old Style" w:cs="Times New Roman"/>
          <w:color w:val="000000"/>
          <w:kern w:val="0"/>
          <w:sz w:val="28"/>
          <w:szCs w:val="28"/>
          <w:lang w:val="el-GR"/>
          <w14:ligatures w14:val="none"/>
        </w:rPr>
        <w:t xml:space="preserve">ορθότητα των αποφάσεων </w:t>
      </w:r>
      <w:r w:rsidR="00B35AF1">
        <w:rPr>
          <w:rFonts w:ascii="Bookman Old Style" w:eastAsia="Times New Roman" w:hAnsi="Bookman Old Style" w:cs="Times New Roman"/>
          <w:color w:val="000000"/>
          <w:kern w:val="0"/>
          <w:sz w:val="28"/>
          <w:szCs w:val="28"/>
          <w:lang w:val="el-GR"/>
          <w14:ligatures w14:val="none"/>
        </w:rPr>
        <w:t>κ</w:t>
      </w:r>
      <w:r w:rsidR="00C07ED2" w:rsidRPr="0053721D">
        <w:rPr>
          <w:rFonts w:ascii="Bookman Old Style" w:eastAsia="Times New Roman" w:hAnsi="Bookman Old Style" w:cs="Times New Roman"/>
          <w:color w:val="000000"/>
          <w:kern w:val="0"/>
          <w:sz w:val="28"/>
          <w:szCs w:val="28"/>
          <w:lang w:val="el-GR"/>
          <w14:ligatures w14:val="none"/>
        </w:rPr>
        <w:t>ατώτερων Δικαστηρίων,</w:t>
      </w:r>
      <w:r w:rsidR="00C07ED2">
        <w:rPr>
          <w:rFonts w:ascii="Bookman Old Style" w:eastAsia="Times New Roman" w:hAnsi="Bookman Old Style" w:cs="Times New Roman"/>
          <w:color w:val="000000"/>
          <w:kern w:val="0"/>
          <w:sz w:val="28"/>
          <w:szCs w:val="28"/>
          <w:lang w:val="el-GR"/>
          <w14:ligatures w14:val="none"/>
        </w:rPr>
        <w:t xml:space="preserve"> ούτε τον τρόπο άσκησης της διακριτικής ευχέρεια του Δικαστηρίου.</w:t>
      </w:r>
      <w:r w:rsidR="00C07ED2" w:rsidRPr="00112749">
        <w:rPr>
          <w:rFonts w:ascii="Bookman Old Style" w:eastAsia="Times New Roman" w:hAnsi="Bookman Old Style" w:cs="Times New Roman"/>
          <w:color w:val="000000"/>
          <w:kern w:val="0"/>
          <w:sz w:val="28"/>
          <w:szCs w:val="28"/>
          <w:lang w:val="el-GR"/>
          <w14:ligatures w14:val="none"/>
        </w:rPr>
        <w:t xml:space="preserve"> </w:t>
      </w:r>
      <w:r w:rsidR="00FA354C">
        <w:rPr>
          <w:rFonts w:ascii="Bookman Old Style" w:eastAsia="Times New Roman" w:hAnsi="Bookman Old Style" w:cs="Times New Roman"/>
          <w:color w:val="000000"/>
          <w:kern w:val="0"/>
          <w:sz w:val="28"/>
          <w:szCs w:val="28"/>
          <w:lang w:val="el-GR"/>
          <w14:ligatures w14:val="none"/>
        </w:rPr>
        <w:t>Δ</w:t>
      </w:r>
      <w:r w:rsidR="00C07ED2">
        <w:rPr>
          <w:rFonts w:ascii="Bookman Old Style" w:eastAsia="Times New Roman" w:hAnsi="Bookman Old Style" w:cs="Times New Roman"/>
          <w:color w:val="000000"/>
          <w:kern w:val="0"/>
          <w:sz w:val="28"/>
          <w:szCs w:val="28"/>
          <w:lang w:val="el-GR"/>
          <w14:ligatures w14:val="none"/>
        </w:rPr>
        <w:t xml:space="preserve">εν συνιστά υποκατάστατο της δευτεροβάθμιας διαδικασίας </w:t>
      </w:r>
      <w:r w:rsidR="00B35AF1">
        <w:rPr>
          <w:rFonts w:ascii="Bookman Old Style" w:eastAsia="Times New Roman" w:hAnsi="Bookman Old Style" w:cs="Times New Roman"/>
          <w:color w:val="000000"/>
          <w:kern w:val="0"/>
          <w:sz w:val="28"/>
          <w:szCs w:val="28"/>
          <w:lang w:val="el-GR"/>
          <w14:ligatures w14:val="none"/>
        </w:rPr>
        <w:t xml:space="preserve">και </w:t>
      </w:r>
      <w:r w:rsidR="00C07ED2">
        <w:rPr>
          <w:rFonts w:ascii="Bookman Old Style" w:eastAsia="Times New Roman" w:hAnsi="Bookman Old Style" w:cs="Times New Roman"/>
          <w:color w:val="000000"/>
          <w:kern w:val="0"/>
          <w:sz w:val="28"/>
          <w:szCs w:val="28"/>
          <w:lang w:val="el-GR"/>
          <w14:ligatures w14:val="none"/>
        </w:rPr>
        <w:t xml:space="preserve">μέσο για τον έλεγχο της ορθότητας των αποφάσεων των κατώτερων Δικαστηρίων. </w:t>
      </w:r>
      <w:r w:rsidR="00B35AF1">
        <w:rPr>
          <w:rFonts w:ascii="Bookman Old Style" w:eastAsia="Times New Roman" w:hAnsi="Bookman Old Style" w:cs="Times New Roman"/>
          <w:color w:val="000000"/>
          <w:kern w:val="0"/>
          <w:sz w:val="28"/>
          <w:szCs w:val="28"/>
          <w:lang w:val="el-GR"/>
          <w14:ligatures w14:val="none"/>
        </w:rPr>
        <w:t>Ούτε μπορεί</w:t>
      </w:r>
      <w:r w:rsidR="005F7E99">
        <w:rPr>
          <w:rFonts w:ascii="Bookman Old Style" w:eastAsia="Times New Roman" w:hAnsi="Bookman Old Style" w:cs="Times New Roman"/>
          <w:color w:val="000000"/>
          <w:kern w:val="0"/>
          <w:sz w:val="28"/>
          <w:szCs w:val="28"/>
          <w:lang w:val="el-GR"/>
          <w14:ligatures w14:val="none"/>
        </w:rPr>
        <w:t>,</w:t>
      </w:r>
      <w:r w:rsidR="00B35AF1">
        <w:rPr>
          <w:rFonts w:ascii="Bookman Old Style" w:eastAsia="Times New Roman" w:hAnsi="Bookman Old Style" w:cs="Times New Roman"/>
          <w:color w:val="000000"/>
          <w:kern w:val="0"/>
          <w:sz w:val="28"/>
          <w:szCs w:val="28"/>
          <w:lang w:val="el-GR"/>
          <w14:ligatures w14:val="none"/>
        </w:rPr>
        <w:t xml:space="preserve"> η συγκεκριμένη </w:t>
      </w:r>
      <w:r w:rsidR="00C07ED2">
        <w:rPr>
          <w:rFonts w:ascii="Bookman Old Style" w:eastAsia="Times New Roman" w:hAnsi="Bookman Old Style" w:cs="Times New Roman"/>
          <w:color w:val="000000"/>
          <w:kern w:val="0"/>
          <w:sz w:val="28"/>
          <w:szCs w:val="28"/>
          <w:lang w:val="el-GR"/>
          <w14:ligatures w14:val="none"/>
        </w:rPr>
        <w:t>διαδικασία</w:t>
      </w:r>
      <w:r w:rsidR="005F7E99">
        <w:rPr>
          <w:rFonts w:ascii="Bookman Old Style" w:eastAsia="Times New Roman" w:hAnsi="Bookman Old Style" w:cs="Times New Roman"/>
          <w:color w:val="000000"/>
          <w:kern w:val="0"/>
          <w:sz w:val="28"/>
          <w:szCs w:val="28"/>
          <w:lang w:val="el-GR"/>
          <w14:ligatures w14:val="none"/>
        </w:rPr>
        <w:t>,</w:t>
      </w:r>
      <w:r w:rsidR="00C07ED2">
        <w:rPr>
          <w:rFonts w:ascii="Bookman Old Style" w:eastAsia="Times New Roman" w:hAnsi="Bookman Old Style" w:cs="Times New Roman"/>
          <w:color w:val="000000"/>
          <w:kern w:val="0"/>
          <w:sz w:val="28"/>
          <w:szCs w:val="28"/>
          <w:lang w:val="el-GR"/>
          <w14:ligatures w14:val="none"/>
        </w:rPr>
        <w:t xml:space="preserve"> να αφεθεί να χρησιμοποιηθεί ως έφεση υπό μεταμφίεση.</w:t>
      </w:r>
      <w:r w:rsidR="001F6C31" w:rsidRPr="001F6C31">
        <w:rPr>
          <w:rFonts w:ascii="Bookman Old Style" w:eastAsia="Times New Roman" w:hAnsi="Bookman Old Style" w:cs="Times New Roman"/>
          <w:color w:val="000000"/>
          <w:kern w:val="0"/>
          <w:sz w:val="28"/>
          <w:szCs w:val="28"/>
          <w:lang w:val="el-GR"/>
          <w14:ligatures w14:val="none"/>
        </w:rPr>
        <w:t xml:space="preserve"> </w:t>
      </w:r>
      <w:r w:rsidR="001F6C31">
        <w:rPr>
          <w:rFonts w:ascii="Bookman Old Style" w:eastAsia="Times New Roman" w:hAnsi="Bookman Old Style" w:cs="Times New Roman"/>
          <w:color w:val="000000"/>
          <w:kern w:val="0"/>
          <w:sz w:val="28"/>
          <w:szCs w:val="28"/>
          <w:lang w:val="el-GR"/>
          <w14:ligatures w14:val="none"/>
        </w:rPr>
        <w:t xml:space="preserve">Ότι </w:t>
      </w:r>
      <w:r w:rsidR="00650AF3" w:rsidRPr="00DC64BE">
        <w:rPr>
          <w:rFonts w:ascii="Bookman Old Style" w:eastAsia="Times New Roman" w:hAnsi="Bookman Old Style" w:cs="Times New Roman"/>
          <w:color w:val="000000"/>
          <w:kern w:val="0"/>
          <w:sz w:val="28"/>
          <w:szCs w:val="28"/>
          <w:lang w:val="el-GR"/>
          <w14:ligatures w14:val="none"/>
        </w:rPr>
        <w:t>ενδιαφέρει</w:t>
      </w:r>
      <w:r w:rsidR="00540240">
        <w:rPr>
          <w:rFonts w:ascii="Bookman Old Style" w:eastAsia="Times New Roman" w:hAnsi="Bookman Old Style" w:cs="Times New Roman"/>
          <w:color w:val="000000"/>
          <w:kern w:val="0"/>
          <w:sz w:val="28"/>
          <w:szCs w:val="28"/>
          <w:lang w:val="el-GR"/>
          <w14:ligatures w14:val="none"/>
        </w:rPr>
        <w:t>,</w:t>
      </w:r>
      <w:r w:rsidR="00650AF3" w:rsidRPr="00DC64BE">
        <w:rPr>
          <w:rFonts w:ascii="Bookman Old Style" w:eastAsia="Times New Roman" w:hAnsi="Bookman Old Style" w:cs="Times New Roman"/>
          <w:color w:val="000000"/>
          <w:kern w:val="0"/>
          <w:sz w:val="28"/>
          <w:szCs w:val="28"/>
          <w:lang w:val="el-GR"/>
          <w14:ligatures w14:val="none"/>
        </w:rPr>
        <w:t xml:space="preserve"> είναι η νομιμότητα των ελεγχόμενων ενεργειών.</w:t>
      </w:r>
      <w:r w:rsidR="00650AF3">
        <w:rPr>
          <w:rFonts w:ascii="Bookman Old Style" w:eastAsia="Times New Roman" w:hAnsi="Bookman Old Style" w:cs="Times New Roman"/>
          <w:color w:val="000000"/>
          <w:kern w:val="0"/>
          <w:sz w:val="28"/>
          <w:szCs w:val="28"/>
          <w:lang w:val="el-GR"/>
          <w14:ligatures w14:val="none"/>
        </w:rPr>
        <w:t xml:space="preserve"> </w:t>
      </w:r>
      <w:r w:rsidR="00D76792">
        <w:rPr>
          <w:rFonts w:ascii="Bookman Old Style" w:eastAsia="Times New Roman" w:hAnsi="Bookman Old Style" w:cs="Times New Roman"/>
          <w:color w:val="000000"/>
          <w:kern w:val="0"/>
          <w:sz w:val="28"/>
          <w:szCs w:val="28"/>
          <w:lang w:val="el-GR"/>
          <w14:ligatures w14:val="none"/>
        </w:rPr>
        <w:t xml:space="preserve">Περαιτέρω, </w:t>
      </w:r>
      <w:r w:rsidR="00C07ED2">
        <w:rPr>
          <w:rFonts w:ascii="Bookman Old Style" w:eastAsia="Times New Roman" w:hAnsi="Bookman Old Style" w:cs="Times New Roman"/>
          <w:color w:val="000000"/>
          <w:kern w:val="0"/>
          <w:sz w:val="28"/>
          <w:szCs w:val="28"/>
          <w:lang w:val="el-GR"/>
          <w14:ligatures w14:val="none"/>
        </w:rPr>
        <w:t xml:space="preserve">μέσω της </w:t>
      </w:r>
      <w:r w:rsidR="00C07ED2">
        <w:rPr>
          <w:rFonts w:ascii="Bookman Old Style" w:hAnsi="Bookman Old Style"/>
          <w:sz w:val="28"/>
          <w:szCs w:val="28"/>
          <w:lang w:val="el-GR"/>
        </w:rPr>
        <w:t xml:space="preserve">συγκεκριμένης </w:t>
      </w:r>
      <w:r w:rsidR="00C07ED2" w:rsidRPr="00DC64BE">
        <w:rPr>
          <w:rFonts w:ascii="Bookman Old Style" w:hAnsi="Bookman Old Style"/>
          <w:sz w:val="28"/>
          <w:szCs w:val="28"/>
          <w:lang w:val="el-GR"/>
        </w:rPr>
        <w:t>προνομιακή</w:t>
      </w:r>
      <w:r w:rsidR="00C07ED2">
        <w:rPr>
          <w:rFonts w:ascii="Bookman Old Style" w:hAnsi="Bookman Old Style"/>
          <w:sz w:val="28"/>
          <w:szCs w:val="28"/>
          <w:lang w:val="el-GR"/>
        </w:rPr>
        <w:t>ς</w:t>
      </w:r>
      <w:r w:rsidR="00C07ED2" w:rsidRPr="00DC64BE">
        <w:rPr>
          <w:rFonts w:ascii="Bookman Old Style" w:hAnsi="Bookman Old Style"/>
          <w:sz w:val="28"/>
          <w:szCs w:val="28"/>
          <w:lang w:val="el-GR"/>
        </w:rPr>
        <w:t xml:space="preserve"> του δικαιοδοσία</w:t>
      </w:r>
      <w:r w:rsidR="00C07ED2">
        <w:rPr>
          <w:rFonts w:ascii="Bookman Old Style" w:hAnsi="Bookman Old Style"/>
          <w:sz w:val="28"/>
          <w:szCs w:val="28"/>
          <w:lang w:val="el-GR"/>
        </w:rPr>
        <w:t>ς, τ</w:t>
      </w:r>
      <w:r w:rsidR="00C07ED2" w:rsidRPr="00DC64BE">
        <w:rPr>
          <w:rFonts w:ascii="Bookman Old Style" w:hAnsi="Bookman Old Style"/>
          <w:sz w:val="28"/>
          <w:szCs w:val="28"/>
          <w:lang w:val="el-GR"/>
        </w:rPr>
        <w:t>ο Ανώτατο Δικαστήριο</w:t>
      </w:r>
      <w:r w:rsidR="00C07ED2">
        <w:rPr>
          <w:rFonts w:ascii="Bookman Old Style" w:hAnsi="Bookman Old Style"/>
          <w:sz w:val="28"/>
          <w:szCs w:val="28"/>
          <w:lang w:val="el-GR"/>
        </w:rPr>
        <w:t xml:space="preserve">, </w:t>
      </w:r>
      <w:r w:rsidR="00C07ED2" w:rsidRPr="00DC64BE">
        <w:rPr>
          <w:rFonts w:ascii="Bookman Old Style" w:hAnsi="Bookman Old Style"/>
          <w:sz w:val="28"/>
          <w:szCs w:val="28"/>
          <w:lang w:val="el-GR"/>
        </w:rPr>
        <w:t xml:space="preserve">δεν υποκαθιστά τους χειρισμούς, ούτε τη διαδικασία </w:t>
      </w:r>
      <w:r w:rsidR="00C07ED2">
        <w:rPr>
          <w:rFonts w:ascii="Bookman Old Style" w:hAnsi="Bookman Old Style"/>
          <w:sz w:val="28"/>
          <w:szCs w:val="28"/>
          <w:lang w:val="el-GR"/>
        </w:rPr>
        <w:t xml:space="preserve">και πρακτική </w:t>
      </w:r>
      <w:r w:rsidR="00C07ED2" w:rsidRPr="00DC64BE">
        <w:rPr>
          <w:rFonts w:ascii="Bookman Old Style" w:hAnsi="Bookman Old Style"/>
          <w:sz w:val="28"/>
          <w:szCs w:val="28"/>
          <w:lang w:val="el-GR"/>
        </w:rPr>
        <w:t xml:space="preserve">που ακολουθήθηκε από το κατώτερο Δικαστήριο. Ακόμα και στην περίπτωση που το Δικαστήριο έχει λανθασμένα αντιληφθεί </w:t>
      </w:r>
      <w:r w:rsidR="001175D3">
        <w:rPr>
          <w:rFonts w:ascii="Bookman Old Style" w:hAnsi="Bookman Old Style"/>
          <w:sz w:val="28"/>
          <w:szCs w:val="28"/>
          <w:lang w:val="el-GR"/>
        </w:rPr>
        <w:t xml:space="preserve">και ερμηνεύσει ένα νομοθέτημα ή αποδέχθηκε παράνομη μαρτυρία, </w:t>
      </w:r>
      <w:r w:rsidR="00C07ED2" w:rsidRPr="00DC64BE">
        <w:rPr>
          <w:rFonts w:ascii="Bookman Old Style" w:hAnsi="Bookman Old Style"/>
          <w:sz w:val="28"/>
          <w:szCs w:val="28"/>
          <w:lang w:val="el-GR"/>
        </w:rPr>
        <w:t>αυτό διορθώνεται κατ’ έφεση και όχι μέσω Προνομιακών Ενταλμάτων</w:t>
      </w:r>
      <w:bookmarkStart w:id="7" w:name="_ftnref2"/>
      <w:r w:rsidRPr="00F75AB7">
        <w:rPr>
          <w:rFonts w:ascii="Bookman Old Style" w:hAnsi="Bookman Old Style"/>
          <w:sz w:val="28"/>
          <w:szCs w:val="28"/>
          <w:lang w:val="el-GR"/>
        </w:rPr>
        <w:t xml:space="preserve"> </w:t>
      </w:r>
      <w:r w:rsidR="001175D3">
        <w:rPr>
          <w:rFonts w:ascii="Bookman Old Style" w:eastAsia="Times New Roman" w:hAnsi="Bookman Old Style" w:cs="Times New Roman"/>
          <w:color w:val="000000"/>
          <w:kern w:val="0"/>
          <w:sz w:val="28"/>
          <w:szCs w:val="28"/>
          <w:lang w:val="el-GR"/>
          <w14:ligatures w14:val="none"/>
        </w:rPr>
        <w:t>(</w:t>
      </w:r>
      <w:r w:rsidR="00CE4F56">
        <w:rPr>
          <w:rFonts w:ascii="Bookman Old Style" w:eastAsia="Times New Roman" w:hAnsi="Bookman Old Style" w:cs="Times New Roman"/>
          <w:color w:val="000000"/>
          <w:kern w:val="0"/>
          <w:sz w:val="28"/>
          <w:szCs w:val="28"/>
          <w:lang w:val="el-GR"/>
          <w14:ligatures w14:val="none"/>
        </w:rPr>
        <w:t>βλ. μεταξύ άλλων</w:t>
      </w:r>
      <w:r w:rsidR="00CE4F56" w:rsidRPr="00CE4F56">
        <w:rPr>
          <w:rFonts w:ascii="Bookman Old Style" w:eastAsia="Times New Roman" w:hAnsi="Bookman Old Style" w:cs="Times New Roman"/>
          <w:color w:val="000000"/>
          <w:kern w:val="0"/>
          <w:sz w:val="28"/>
          <w:szCs w:val="28"/>
          <w:lang w:val="el-GR"/>
          <w14:ligatures w14:val="none"/>
        </w:rPr>
        <w:t>:</w:t>
      </w:r>
      <w:r w:rsidR="00CE4F56">
        <w:rPr>
          <w:rFonts w:ascii="Bookman Old Style" w:eastAsia="Times New Roman" w:hAnsi="Bookman Old Style" w:cs="Times New Roman"/>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Αναφορικά</w:t>
      </w:r>
      <w:r w:rsidR="00C07ED2" w:rsidRPr="001C0C7E">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με</w:t>
      </w:r>
      <w:r w:rsidR="00C07ED2" w:rsidRPr="001C0C7E">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την</w:t>
      </w:r>
      <w:r w:rsidR="00C07ED2" w:rsidRPr="001C0C7E">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αίτηση</w:t>
      </w:r>
      <w:r w:rsidR="001C0C7E" w:rsidRPr="001C0C7E">
        <w:rPr>
          <w:rFonts w:ascii="Bookman Old Style" w:eastAsia="Times New Roman" w:hAnsi="Bookman Old Style" w:cs="Times New Roman"/>
          <w:b/>
          <w:bCs/>
          <w:i/>
          <w:iCs/>
          <w:color w:val="000000"/>
          <w:kern w:val="0"/>
          <w:sz w:val="28"/>
          <w:szCs w:val="28"/>
          <w:lang w:val="el-GR"/>
          <w14:ligatures w14:val="none"/>
        </w:rPr>
        <w:t xml:space="preserve"> </w:t>
      </w:r>
      <w:r w:rsidR="001C0C7E">
        <w:rPr>
          <w:rFonts w:ascii="Bookman Old Style" w:eastAsia="Times New Roman" w:hAnsi="Bookman Old Style" w:cs="Times New Roman"/>
          <w:b/>
          <w:bCs/>
          <w:i/>
          <w:iCs/>
          <w:color w:val="000000"/>
          <w:kern w:val="0"/>
          <w:sz w:val="28"/>
          <w:szCs w:val="28"/>
          <w:lang w:val="el-GR"/>
          <w14:ligatures w14:val="none"/>
        </w:rPr>
        <w:t>των</w:t>
      </w:r>
      <w:r w:rsidR="001C0C7E" w:rsidRPr="001C0C7E">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1C0C7E">
        <w:rPr>
          <w:rFonts w:ascii="Bookman Old Style" w:eastAsia="Times New Roman" w:hAnsi="Bookman Old Style" w:cs="Times New Roman"/>
          <w:b/>
          <w:bCs/>
          <w:i/>
          <w:iCs/>
          <w:color w:val="000000"/>
          <w:kern w:val="0"/>
          <w:sz w:val="28"/>
          <w:szCs w:val="28"/>
          <w14:ligatures w14:val="none"/>
        </w:rPr>
        <w:t>Junport</w:t>
      </w:r>
      <w:proofErr w:type="spellEnd"/>
      <w:r w:rsidR="001C0C7E" w:rsidRPr="001C0C7E">
        <w:rPr>
          <w:rFonts w:ascii="Bookman Old Style" w:eastAsia="Times New Roman" w:hAnsi="Bookman Old Style" w:cs="Times New Roman"/>
          <w:b/>
          <w:bCs/>
          <w:i/>
          <w:iCs/>
          <w:color w:val="000000"/>
          <w:kern w:val="0"/>
          <w:sz w:val="28"/>
          <w:szCs w:val="28"/>
          <w:lang w:val="el-GR"/>
          <w14:ligatures w14:val="none"/>
        </w:rPr>
        <w:t xml:space="preserve"> </w:t>
      </w:r>
      <w:r w:rsidR="001C0C7E">
        <w:rPr>
          <w:rFonts w:ascii="Bookman Old Style" w:eastAsia="Times New Roman" w:hAnsi="Bookman Old Style" w:cs="Times New Roman"/>
          <w:b/>
          <w:bCs/>
          <w:i/>
          <w:iCs/>
          <w:color w:val="000000"/>
          <w:kern w:val="0"/>
          <w:sz w:val="28"/>
          <w:szCs w:val="28"/>
          <w14:ligatures w14:val="none"/>
        </w:rPr>
        <w:t>International</w:t>
      </w:r>
      <w:r w:rsidR="001C0C7E" w:rsidRPr="001C0C7E">
        <w:rPr>
          <w:rFonts w:ascii="Bookman Old Style" w:eastAsia="Times New Roman" w:hAnsi="Bookman Old Style" w:cs="Times New Roman"/>
          <w:b/>
          <w:bCs/>
          <w:i/>
          <w:iCs/>
          <w:color w:val="000000"/>
          <w:kern w:val="0"/>
          <w:sz w:val="28"/>
          <w:szCs w:val="28"/>
          <w:lang w:val="el-GR"/>
          <w14:ligatures w14:val="none"/>
        </w:rPr>
        <w:t xml:space="preserve"> </w:t>
      </w:r>
      <w:r w:rsidR="001C0C7E">
        <w:rPr>
          <w:rFonts w:ascii="Bookman Old Style" w:eastAsia="Times New Roman" w:hAnsi="Bookman Old Style" w:cs="Times New Roman"/>
          <w:b/>
          <w:bCs/>
          <w:i/>
          <w:iCs/>
          <w:color w:val="000000"/>
          <w:kern w:val="0"/>
          <w:sz w:val="28"/>
          <w:szCs w:val="28"/>
          <w14:ligatures w14:val="none"/>
        </w:rPr>
        <w:t>Limited</w:t>
      </w:r>
      <w:r w:rsidR="001C0C7E" w:rsidRPr="001C0C7E">
        <w:rPr>
          <w:rFonts w:ascii="Bookman Old Style" w:eastAsia="Times New Roman" w:hAnsi="Bookman Old Style" w:cs="Times New Roman"/>
          <w:b/>
          <w:bCs/>
          <w:i/>
          <w:iCs/>
          <w:color w:val="000000"/>
          <w:kern w:val="0"/>
          <w:sz w:val="28"/>
          <w:szCs w:val="28"/>
          <w:lang w:val="el-GR"/>
          <w14:ligatures w14:val="none"/>
        </w:rPr>
        <w:t xml:space="preserve"> </w:t>
      </w:r>
      <w:r w:rsidR="001C0C7E">
        <w:rPr>
          <w:rFonts w:ascii="Bookman Old Style" w:eastAsia="Times New Roman" w:hAnsi="Bookman Old Style" w:cs="Times New Roman"/>
          <w:b/>
          <w:bCs/>
          <w:i/>
          <w:iCs/>
          <w:color w:val="000000"/>
          <w:kern w:val="0"/>
          <w:sz w:val="28"/>
          <w:szCs w:val="28"/>
          <w:lang w:val="el-GR"/>
          <w14:ligatures w14:val="none"/>
        </w:rPr>
        <w:t>κ</w:t>
      </w:r>
      <w:r w:rsidR="001C0C7E" w:rsidRPr="001C0C7E">
        <w:rPr>
          <w:rFonts w:ascii="Bookman Old Style" w:eastAsia="Times New Roman" w:hAnsi="Bookman Old Style" w:cs="Times New Roman"/>
          <w:b/>
          <w:bCs/>
          <w:i/>
          <w:iCs/>
          <w:color w:val="000000"/>
          <w:kern w:val="0"/>
          <w:sz w:val="28"/>
          <w:szCs w:val="28"/>
          <w:lang w:val="el-GR"/>
          <w14:ligatures w14:val="none"/>
        </w:rPr>
        <w:t>.</w:t>
      </w:r>
      <w:r w:rsidR="001C0C7E">
        <w:rPr>
          <w:rFonts w:ascii="Bookman Old Style" w:eastAsia="Times New Roman" w:hAnsi="Bookman Old Style" w:cs="Times New Roman"/>
          <w:b/>
          <w:bCs/>
          <w:i/>
          <w:iCs/>
          <w:color w:val="000000"/>
          <w:kern w:val="0"/>
          <w:sz w:val="28"/>
          <w:szCs w:val="28"/>
          <w:lang w:val="el-GR"/>
          <w14:ligatures w14:val="none"/>
        </w:rPr>
        <w:t>ά</w:t>
      </w:r>
      <w:r w:rsidR="001C0C7E" w:rsidRPr="001C0C7E">
        <w:rPr>
          <w:rFonts w:ascii="Bookman Old Style" w:eastAsia="Times New Roman" w:hAnsi="Bookman Old Style" w:cs="Times New Roman"/>
          <w:b/>
          <w:bCs/>
          <w:i/>
          <w:iCs/>
          <w:color w:val="000000"/>
          <w:kern w:val="0"/>
          <w:sz w:val="28"/>
          <w:szCs w:val="28"/>
          <w:lang w:val="el-GR"/>
          <w14:ligatures w14:val="none"/>
        </w:rPr>
        <w:t>.</w:t>
      </w:r>
      <w:bookmarkEnd w:id="7"/>
      <w:r w:rsidR="00C07ED2" w:rsidRPr="001C0C7E">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Πολιτική</w:t>
      </w:r>
      <w:r w:rsidR="00C07ED2" w:rsidRPr="001C0C7E">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Έφεση</w:t>
      </w:r>
      <w:r w:rsidR="00C07ED2" w:rsidRPr="001C0C7E">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Αρ</w:t>
      </w:r>
      <w:r w:rsidR="00C07ED2" w:rsidRPr="001C0C7E">
        <w:rPr>
          <w:rFonts w:ascii="Bookman Old Style" w:eastAsia="Times New Roman" w:hAnsi="Bookman Old Style" w:cs="Times New Roman"/>
          <w:b/>
          <w:bCs/>
          <w:i/>
          <w:iCs/>
          <w:color w:val="000000"/>
          <w:kern w:val="0"/>
          <w:sz w:val="28"/>
          <w:szCs w:val="28"/>
          <w:lang w:val="el-GR"/>
          <w14:ligatures w14:val="none"/>
        </w:rPr>
        <w:t xml:space="preserve">. 321/2017, </w:t>
      </w:r>
      <w:proofErr w:type="spellStart"/>
      <w:r w:rsidR="00C07ED2" w:rsidRPr="0053721D">
        <w:rPr>
          <w:rFonts w:ascii="Bookman Old Style" w:eastAsia="Times New Roman" w:hAnsi="Bookman Old Style" w:cs="Times New Roman"/>
          <w:b/>
          <w:bCs/>
          <w:i/>
          <w:iCs/>
          <w:color w:val="000000"/>
          <w:kern w:val="0"/>
          <w:sz w:val="28"/>
          <w:szCs w:val="28"/>
          <w:lang w:val="el-GR"/>
          <w14:ligatures w14:val="none"/>
        </w:rPr>
        <w:t>ημερ</w:t>
      </w:r>
      <w:proofErr w:type="spellEnd"/>
      <w:r w:rsidR="00C07ED2" w:rsidRPr="001C0C7E">
        <w:rPr>
          <w:rFonts w:ascii="Bookman Old Style" w:eastAsia="Times New Roman" w:hAnsi="Bookman Old Style" w:cs="Times New Roman"/>
          <w:b/>
          <w:bCs/>
          <w:i/>
          <w:iCs/>
          <w:color w:val="000000"/>
          <w:kern w:val="0"/>
          <w:sz w:val="28"/>
          <w:szCs w:val="28"/>
          <w:lang w:val="el-GR"/>
          <w14:ligatures w14:val="none"/>
        </w:rPr>
        <w:t xml:space="preserve">. </w:t>
      </w:r>
      <w:r w:rsidR="00C07ED2" w:rsidRPr="00D95CAD">
        <w:rPr>
          <w:rFonts w:ascii="Bookman Old Style" w:eastAsia="Times New Roman" w:hAnsi="Bookman Old Style" w:cs="Times New Roman"/>
          <w:b/>
          <w:bCs/>
          <w:i/>
          <w:iCs/>
          <w:color w:val="000000"/>
          <w:kern w:val="0"/>
          <w:sz w:val="28"/>
          <w:szCs w:val="28"/>
          <w:lang w:val="el-GR"/>
          <w14:ligatures w14:val="none"/>
        </w:rPr>
        <w:t>2/4/2018</w:t>
      </w:r>
      <w:r w:rsidR="00C07ED2" w:rsidRPr="00D95CAD">
        <w:rPr>
          <w:rFonts w:ascii="Bookman Old Style" w:eastAsia="Times New Roman" w:hAnsi="Bookman Old Style" w:cs="Times New Roman"/>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Γενικός</w:t>
      </w:r>
      <w:r w:rsidR="00C07ED2" w:rsidRPr="00D95CAD">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Εισαγγελέας</w:t>
      </w:r>
      <w:r w:rsidR="00C07ED2" w:rsidRPr="00D95CAD">
        <w:rPr>
          <w:rFonts w:ascii="Bookman Old Style" w:eastAsia="Times New Roman" w:hAnsi="Bookman Old Style" w:cs="Times New Roman"/>
          <w:b/>
          <w:bCs/>
          <w:i/>
          <w:iCs/>
          <w:color w:val="000000"/>
          <w:kern w:val="0"/>
          <w:sz w:val="28"/>
          <w:szCs w:val="28"/>
          <w:lang w:val="el-GR"/>
          <w14:ligatures w14:val="none"/>
        </w:rPr>
        <w:t xml:space="preserve"> (</w:t>
      </w:r>
      <w:r w:rsidR="00C07ED2" w:rsidRPr="0053721D">
        <w:rPr>
          <w:rFonts w:ascii="Bookman Old Style" w:eastAsia="Times New Roman" w:hAnsi="Bookman Old Style" w:cs="Times New Roman"/>
          <w:b/>
          <w:bCs/>
          <w:i/>
          <w:iCs/>
          <w:color w:val="000000"/>
          <w:kern w:val="0"/>
          <w:sz w:val="28"/>
          <w:szCs w:val="28"/>
          <w:lang w:val="el-GR"/>
          <w14:ligatures w14:val="none"/>
        </w:rPr>
        <w:t>Αρ</w:t>
      </w:r>
      <w:r w:rsidR="00C07ED2" w:rsidRPr="00D95CAD">
        <w:rPr>
          <w:rFonts w:ascii="Bookman Old Style" w:eastAsia="Times New Roman" w:hAnsi="Bookman Old Style" w:cs="Times New Roman"/>
          <w:b/>
          <w:bCs/>
          <w:i/>
          <w:iCs/>
          <w:color w:val="000000"/>
          <w:kern w:val="0"/>
          <w:sz w:val="28"/>
          <w:szCs w:val="28"/>
          <w:lang w:val="el-GR"/>
          <w14:ligatures w14:val="none"/>
        </w:rPr>
        <w:t xml:space="preserve">.3) (1993) 1 </w:t>
      </w:r>
      <w:r w:rsidR="00C07ED2" w:rsidRPr="0053721D">
        <w:rPr>
          <w:rFonts w:ascii="Bookman Old Style" w:eastAsia="Times New Roman" w:hAnsi="Bookman Old Style" w:cs="Times New Roman"/>
          <w:b/>
          <w:bCs/>
          <w:i/>
          <w:iCs/>
          <w:color w:val="000000"/>
          <w:kern w:val="0"/>
          <w:sz w:val="28"/>
          <w:szCs w:val="28"/>
          <w:lang w:val="el-GR"/>
          <w14:ligatures w14:val="none"/>
        </w:rPr>
        <w:t>Α</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Α</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Δ</w:t>
      </w:r>
      <w:r w:rsidR="00C07ED2" w:rsidRPr="00D95CAD">
        <w:rPr>
          <w:rFonts w:ascii="Bookman Old Style" w:eastAsia="Times New Roman" w:hAnsi="Bookman Old Style" w:cs="Times New Roman"/>
          <w:b/>
          <w:bCs/>
          <w:i/>
          <w:iCs/>
          <w:color w:val="000000"/>
          <w:kern w:val="0"/>
          <w:sz w:val="28"/>
          <w:szCs w:val="28"/>
          <w:lang w:val="el-GR"/>
          <w14:ligatures w14:val="none"/>
        </w:rPr>
        <w:t xml:space="preserve">. </w:t>
      </w:r>
      <w:r w:rsidR="001C0C7E" w:rsidRPr="00D95CAD">
        <w:rPr>
          <w:rFonts w:ascii="Bookman Old Style" w:eastAsia="Times New Roman" w:hAnsi="Bookman Old Style" w:cs="Times New Roman"/>
          <w:b/>
          <w:bCs/>
          <w:i/>
          <w:iCs/>
          <w:color w:val="000000"/>
          <w:kern w:val="0"/>
          <w:sz w:val="28"/>
          <w:szCs w:val="28"/>
          <w:lang w:val="el-GR"/>
          <w14:ligatures w14:val="none"/>
        </w:rPr>
        <w:t xml:space="preserve">42, </w:t>
      </w:r>
      <w:r w:rsidR="001C0C7E">
        <w:rPr>
          <w:rFonts w:ascii="Bookman Old Style" w:eastAsia="Times New Roman" w:hAnsi="Bookman Old Style" w:cs="Times New Roman"/>
          <w:b/>
          <w:bCs/>
          <w:i/>
          <w:iCs/>
          <w:color w:val="000000"/>
          <w:kern w:val="0"/>
          <w:sz w:val="28"/>
          <w:szCs w:val="28"/>
          <w14:ligatures w14:val="none"/>
        </w:rPr>
        <w:t>Global</w:t>
      </w:r>
      <w:r w:rsidR="001C0C7E" w:rsidRPr="00D95CAD">
        <w:rPr>
          <w:rFonts w:ascii="Bookman Old Style" w:eastAsia="Times New Roman" w:hAnsi="Bookman Old Style" w:cs="Times New Roman"/>
          <w:b/>
          <w:bCs/>
          <w:i/>
          <w:iCs/>
          <w:color w:val="000000"/>
          <w:kern w:val="0"/>
          <w:sz w:val="28"/>
          <w:szCs w:val="28"/>
          <w:lang w:val="el-GR"/>
          <w14:ligatures w14:val="none"/>
        </w:rPr>
        <w:t xml:space="preserve"> </w:t>
      </w:r>
      <w:r w:rsidR="001C0C7E">
        <w:rPr>
          <w:rFonts w:ascii="Bookman Old Style" w:eastAsia="Times New Roman" w:hAnsi="Bookman Old Style" w:cs="Times New Roman"/>
          <w:b/>
          <w:bCs/>
          <w:i/>
          <w:iCs/>
          <w:color w:val="000000"/>
          <w:kern w:val="0"/>
          <w:sz w:val="28"/>
          <w:szCs w:val="28"/>
          <w14:ligatures w14:val="none"/>
        </w:rPr>
        <w:t>C</w:t>
      </w:r>
      <w:r w:rsidR="00C07ED2" w:rsidRPr="001A6FD1">
        <w:rPr>
          <w:rFonts w:ascii="Bookman Old Style" w:eastAsia="Times New Roman" w:hAnsi="Bookman Old Style" w:cs="Times New Roman"/>
          <w:b/>
          <w:bCs/>
          <w:i/>
          <w:iCs/>
          <w:color w:val="000000"/>
          <w:kern w:val="0"/>
          <w:sz w:val="28"/>
          <w:szCs w:val="28"/>
          <w14:ligatures w14:val="none"/>
        </w:rPr>
        <w:t>onsolidation</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14:ligatures w14:val="none"/>
        </w:rPr>
        <w:t>Public</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14:ligatures w14:val="none"/>
        </w:rPr>
        <w:t>Ltd</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D95CAD">
        <w:rPr>
          <w:rFonts w:ascii="Bookman Old Style" w:eastAsia="Times New Roman" w:hAnsi="Bookman Old Style" w:cs="Times New Roman"/>
          <w:b/>
          <w:bCs/>
          <w:i/>
          <w:iCs/>
          <w:color w:val="000000"/>
          <w:kern w:val="0"/>
          <w:sz w:val="28"/>
          <w:szCs w:val="28"/>
          <w:lang w:val="el-GR"/>
          <w14:ligatures w14:val="none"/>
        </w:rPr>
        <w:t>(2006) 1</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14:ligatures w14:val="none"/>
        </w:rPr>
        <w:t>A</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sidRPr="001A6FD1">
        <w:rPr>
          <w:rFonts w:ascii="Bookman Old Style" w:eastAsia="Times New Roman" w:hAnsi="Bookman Old Style" w:cs="Times New Roman"/>
          <w:b/>
          <w:bCs/>
          <w:i/>
          <w:iCs/>
          <w:color w:val="000000"/>
          <w:kern w:val="0"/>
          <w:sz w:val="28"/>
          <w:szCs w:val="28"/>
          <w14:ligatures w14:val="none"/>
        </w:rPr>
        <w:t>A</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Δ</w:t>
      </w:r>
      <w:r w:rsidR="00C07ED2" w:rsidRPr="00D95CAD">
        <w:rPr>
          <w:rFonts w:ascii="Bookman Old Style" w:eastAsia="Times New Roman" w:hAnsi="Bookman Old Style" w:cs="Times New Roman"/>
          <w:b/>
          <w:bCs/>
          <w:i/>
          <w:iCs/>
          <w:color w:val="000000"/>
          <w:kern w:val="0"/>
          <w:sz w:val="28"/>
          <w:szCs w:val="28"/>
          <w:lang w:val="el-GR"/>
          <w14:ligatures w14:val="none"/>
        </w:rPr>
        <w:t xml:space="preserve">. 464, </w:t>
      </w:r>
      <w:proofErr w:type="spellStart"/>
      <w:r w:rsidR="00C07ED2">
        <w:rPr>
          <w:rFonts w:ascii="Bookman Old Style" w:eastAsia="Times New Roman" w:hAnsi="Bookman Old Style" w:cs="Times New Roman"/>
          <w:b/>
          <w:bCs/>
          <w:i/>
          <w:iCs/>
          <w:color w:val="000000"/>
          <w:kern w:val="0"/>
          <w:sz w:val="28"/>
          <w:szCs w:val="28"/>
          <w14:ligatures w14:val="none"/>
        </w:rPr>
        <w:t>Daventree</w:t>
      </w:r>
      <w:proofErr w:type="spellEnd"/>
      <w:r w:rsidR="00C07ED2" w:rsidRPr="00D95CAD">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14:ligatures w14:val="none"/>
        </w:rPr>
        <w:t>Trustees</w:t>
      </w:r>
      <w:r w:rsidR="00C07ED2" w:rsidRPr="00D95CAD">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14:ligatures w14:val="none"/>
        </w:rPr>
        <w:t>Ltd</w:t>
      </w:r>
      <w:r w:rsidR="00C07ED2" w:rsidRPr="00D95CAD">
        <w:rPr>
          <w:rFonts w:ascii="Bookman Old Style" w:eastAsia="Times New Roman" w:hAnsi="Bookman Old Style" w:cs="Times New Roman"/>
          <w:b/>
          <w:bCs/>
          <w:i/>
          <w:iCs/>
          <w:color w:val="000000"/>
          <w:kern w:val="0"/>
          <w:sz w:val="28"/>
          <w:szCs w:val="28"/>
          <w:lang w:val="el-GR"/>
          <w14:ligatures w14:val="none"/>
        </w:rPr>
        <w:t xml:space="preserve"> (2005) 1(</w:t>
      </w:r>
      <w:r w:rsidR="00C07ED2">
        <w:rPr>
          <w:rFonts w:ascii="Bookman Old Style" w:eastAsia="Times New Roman" w:hAnsi="Bookman Old Style" w:cs="Times New Roman"/>
          <w:b/>
          <w:bCs/>
          <w:i/>
          <w:iCs/>
          <w:color w:val="000000"/>
          <w:kern w:val="0"/>
          <w:sz w:val="28"/>
          <w:szCs w:val="28"/>
          <w14:ligatures w14:val="none"/>
        </w:rPr>
        <w:t>A</w:t>
      </w:r>
      <w:r w:rsidR="00C07ED2" w:rsidRPr="00D95CAD">
        <w:rPr>
          <w:rFonts w:ascii="Bookman Old Style" w:eastAsia="Times New Roman" w:hAnsi="Bookman Old Style" w:cs="Times New Roman"/>
          <w:b/>
          <w:bCs/>
          <w:i/>
          <w:iCs/>
          <w:color w:val="000000"/>
          <w:kern w:val="0"/>
          <w:sz w:val="28"/>
          <w:szCs w:val="28"/>
          <w:lang w:val="el-GR"/>
          <w14:ligatures w14:val="none"/>
        </w:rPr>
        <w:t xml:space="preserve">) </w:t>
      </w:r>
      <w:r w:rsidR="00C07ED2">
        <w:rPr>
          <w:rFonts w:ascii="Bookman Old Style" w:eastAsia="Times New Roman" w:hAnsi="Bookman Old Style" w:cs="Times New Roman"/>
          <w:b/>
          <w:bCs/>
          <w:i/>
          <w:iCs/>
          <w:color w:val="000000"/>
          <w:kern w:val="0"/>
          <w:sz w:val="28"/>
          <w:szCs w:val="28"/>
          <w:lang w:val="el-GR"/>
          <w14:ligatures w14:val="none"/>
        </w:rPr>
        <w:t>Α</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Α</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Pr>
          <w:rFonts w:ascii="Bookman Old Style" w:eastAsia="Times New Roman" w:hAnsi="Bookman Old Style" w:cs="Times New Roman"/>
          <w:b/>
          <w:bCs/>
          <w:i/>
          <w:iCs/>
          <w:color w:val="000000"/>
          <w:kern w:val="0"/>
          <w:sz w:val="28"/>
          <w:szCs w:val="28"/>
          <w:lang w:val="el-GR"/>
          <w14:ligatures w14:val="none"/>
        </w:rPr>
        <w:t>Δ</w:t>
      </w:r>
      <w:r w:rsidR="00C07ED2" w:rsidRPr="00D95CAD">
        <w:rPr>
          <w:rFonts w:ascii="Bookman Old Style" w:eastAsia="Times New Roman" w:hAnsi="Bookman Old Style" w:cs="Times New Roman"/>
          <w:b/>
          <w:bCs/>
          <w:i/>
          <w:iCs/>
          <w:color w:val="000000"/>
          <w:kern w:val="0"/>
          <w:sz w:val="28"/>
          <w:szCs w:val="28"/>
          <w:lang w:val="el-GR"/>
          <w14:ligatures w14:val="none"/>
        </w:rPr>
        <w:t>.</w:t>
      </w:r>
      <w:r w:rsidR="00105613" w:rsidRPr="00D95CAD">
        <w:rPr>
          <w:rFonts w:ascii="Bookman Old Style" w:eastAsia="Times New Roman" w:hAnsi="Bookman Old Style" w:cs="Times New Roman"/>
          <w:b/>
          <w:bCs/>
          <w:i/>
          <w:iCs/>
          <w:color w:val="000000"/>
          <w:kern w:val="0"/>
          <w:sz w:val="28"/>
          <w:szCs w:val="28"/>
          <w:lang w:val="el-GR"/>
          <w14:ligatures w14:val="none"/>
        </w:rPr>
        <w:t xml:space="preserve"> 712</w:t>
      </w:r>
      <w:r w:rsidR="00D95CAD">
        <w:rPr>
          <w:rFonts w:ascii="Bookman Old Style" w:eastAsia="Times New Roman" w:hAnsi="Bookman Old Style" w:cs="Times New Roman"/>
          <w:b/>
          <w:bCs/>
          <w:i/>
          <w:iCs/>
          <w:color w:val="000000"/>
          <w:kern w:val="0"/>
          <w:sz w:val="28"/>
          <w:szCs w:val="28"/>
          <w:lang w:val="el-GR"/>
          <w14:ligatures w14:val="none"/>
        </w:rPr>
        <w:t>,</w:t>
      </w:r>
      <w:r w:rsidR="00105613" w:rsidRPr="00D95CAD">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105613">
        <w:rPr>
          <w:rFonts w:ascii="Bookman Old Style" w:eastAsia="Times New Roman" w:hAnsi="Bookman Old Style" w:cs="Times New Roman"/>
          <w:b/>
          <w:bCs/>
          <w:i/>
          <w:iCs/>
          <w:color w:val="000000"/>
          <w:kern w:val="0"/>
          <w:sz w:val="28"/>
          <w:szCs w:val="28"/>
          <w14:ligatures w14:val="none"/>
        </w:rPr>
        <w:t>Marewave</w:t>
      </w:r>
      <w:proofErr w:type="spellEnd"/>
      <w:r w:rsidR="00105613" w:rsidRPr="00D95CAD">
        <w:rPr>
          <w:rFonts w:ascii="Bookman Old Style" w:eastAsia="Times New Roman" w:hAnsi="Bookman Old Style" w:cs="Times New Roman"/>
          <w:b/>
          <w:bCs/>
          <w:i/>
          <w:iCs/>
          <w:color w:val="000000"/>
          <w:kern w:val="0"/>
          <w:sz w:val="28"/>
          <w:szCs w:val="28"/>
          <w:lang w:val="el-GR"/>
          <w14:ligatures w14:val="none"/>
        </w:rPr>
        <w:t xml:space="preserve"> </w:t>
      </w:r>
      <w:r w:rsidR="00105613">
        <w:rPr>
          <w:rFonts w:ascii="Bookman Old Style" w:eastAsia="Times New Roman" w:hAnsi="Bookman Old Style" w:cs="Times New Roman"/>
          <w:b/>
          <w:bCs/>
          <w:i/>
          <w:iCs/>
          <w:color w:val="000000"/>
          <w:kern w:val="0"/>
          <w:sz w:val="28"/>
          <w:szCs w:val="28"/>
          <w14:ligatures w14:val="none"/>
        </w:rPr>
        <w:t>Shipping</w:t>
      </w:r>
      <w:r w:rsidR="00105613" w:rsidRPr="00D95CAD">
        <w:rPr>
          <w:rFonts w:ascii="Bookman Old Style" w:eastAsia="Times New Roman" w:hAnsi="Bookman Old Style" w:cs="Times New Roman"/>
          <w:b/>
          <w:bCs/>
          <w:i/>
          <w:iCs/>
          <w:color w:val="000000"/>
          <w:kern w:val="0"/>
          <w:sz w:val="28"/>
          <w:szCs w:val="28"/>
          <w:lang w:val="el-GR"/>
          <w14:ligatures w14:val="none"/>
        </w:rPr>
        <w:t xml:space="preserve"> </w:t>
      </w:r>
      <w:r w:rsidR="00F10EEF" w:rsidRPr="00D95CAD">
        <w:rPr>
          <w:rFonts w:ascii="Bookman Old Style" w:eastAsia="Times New Roman" w:hAnsi="Bookman Old Style" w:cs="Times New Roman"/>
          <w:b/>
          <w:bCs/>
          <w:i/>
          <w:iCs/>
          <w:color w:val="000000"/>
          <w:kern w:val="0"/>
          <w:sz w:val="28"/>
          <w:szCs w:val="28"/>
          <w:lang w:val="el-GR"/>
          <w14:ligatures w14:val="none"/>
        </w:rPr>
        <w:t xml:space="preserve">&amp; </w:t>
      </w:r>
      <w:r w:rsidR="00F10EEF" w:rsidRPr="001A6FD1">
        <w:rPr>
          <w:rFonts w:ascii="Bookman Old Style" w:eastAsia="Times New Roman" w:hAnsi="Bookman Old Style" w:cs="Times New Roman"/>
          <w:b/>
          <w:bCs/>
          <w:i/>
          <w:iCs/>
          <w:color w:val="000000"/>
          <w:kern w:val="0"/>
          <w:sz w:val="28"/>
          <w:szCs w:val="28"/>
          <w14:ligatures w14:val="none"/>
        </w:rPr>
        <w:t>Trading</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14:ligatures w14:val="none"/>
        </w:rPr>
        <w:t>Company</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14:ligatures w14:val="none"/>
        </w:rPr>
        <w:t>Ltd</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D95CAD">
        <w:rPr>
          <w:rFonts w:ascii="Bookman Old Style" w:eastAsia="Times New Roman" w:hAnsi="Bookman Old Style" w:cs="Times New Roman"/>
          <w:b/>
          <w:bCs/>
          <w:i/>
          <w:iCs/>
          <w:color w:val="000000"/>
          <w:kern w:val="0"/>
          <w:sz w:val="28"/>
          <w:szCs w:val="28"/>
          <w:lang w:val="el-GR"/>
          <w14:ligatures w14:val="none"/>
        </w:rPr>
        <w:t>(1992) 1</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00C07ED2" w:rsidRPr="001A6FD1">
        <w:rPr>
          <w:rFonts w:ascii="Bookman Old Style" w:eastAsia="Times New Roman" w:hAnsi="Bookman Old Style" w:cs="Times New Roman"/>
          <w:b/>
          <w:bCs/>
          <w:i/>
          <w:iCs/>
          <w:color w:val="000000"/>
          <w:kern w:val="0"/>
          <w:sz w:val="28"/>
          <w:szCs w:val="28"/>
          <w14:ligatures w14:val="none"/>
        </w:rPr>
        <w:t>A</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sidRPr="001A6FD1">
        <w:rPr>
          <w:rFonts w:ascii="Bookman Old Style" w:eastAsia="Times New Roman" w:hAnsi="Bookman Old Style" w:cs="Times New Roman"/>
          <w:b/>
          <w:bCs/>
          <w:i/>
          <w:iCs/>
          <w:color w:val="000000"/>
          <w:kern w:val="0"/>
          <w:sz w:val="28"/>
          <w:szCs w:val="28"/>
          <w14:ligatures w14:val="none"/>
        </w:rPr>
        <w:t>A</w:t>
      </w:r>
      <w:r w:rsidR="00C07ED2" w:rsidRPr="00D95CAD">
        <w:rPr>
          <w:rFonts w:ascii="Bookman Old Style" w:eastAsia="Times New Roman" w:hAnsi="Bookman Old Style" w:cs="Times New Roman"/>
          <w:b/>
          <w:bCs/>
          <w:i/>
          <w:iCs/>
          <w:color w:val="000000"/>
          <w:kern w:val="0"/>
          <w:sz w:val="28"/>
          <w:szCs w:val="28"/>
          <w:lang w:val="el-GR"/>
          <w14:ligatures w14:val="none"/>
        </w:rPr>
        <w:t>.</w:t>
      </w:r>
      <w:r w:rsidR="00C07ED2" w:rsidRPr="0053721D">
        <w:rPr>
          <w:rFonts w:ascii="Bookman Old Style" w:eastAsia="Times New Roman" w:hAnsi="Bookman Old Style" w:cs="Times New Roman"/>
          <w:b/>
          <w:bCs/>
          <w:i/>
          <w:iCs/>
          <w:color w:val="000000"/>
          <w:kern w:val="0"/>
          <w:sz w:val="28"/>
          <w:szCs w:val="28"/>
          <w:lang w:val="el-GR"/>
          <w14:ligatures w14:val="none"/>
        </w:rPr>
        <w:t>Δ</w:t>
      </w:r>
      <w:r w:rsidR="00C07ED2" w:rsidRPr="00D95CAD">
        <w:rPr>
          <w:rFonts w:ascii="Bookman Old Style" w:eastAsia="Times New Roman" w:hAnsi="Bookman Old Style" w:cs="Times New Roman"/>
          <w:b/>
          <w:bCs/>
          <w:i/>
          <w:iCs/>
          <w:color w:val="000000"/>
          <w:kern w:val="0"/>
          <w:sz w:val="28"/>
          <w:szCs w:val="28"/>
          <w:lang w:val="el-GR"/>
          <w14:ligatures w14:val="none"/>
        </w:rPr>
        <w:t>. 116</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461151" w:rsidRPr="00105613">
        <w:rPr>
          <w:rFonts w:ascii="Bookman Old Style" w:eastAsia="Times New Roman" w:hAnsi="Bookman Old Style" w:cs="Times New Roman"/>
          <w:color w:val="000000"/>
          <w:kern w:val="0"/>
          <w:sz w:val="28"/>
          <w:szCs w:val="28"/>
          <w:lang w:val="el-GR"/>
          <w14:ligatures w14:val="none"/>
        </w:rPr>
        <w:t>και</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461151">
        <w:rPr>
          <w:rFonts w:ascii="Bookman Old Style" w:eastAsia="Times New Roman" w:hAnsi="Bookman Old Style" w:cs="Times New Roman"/>
          <w:b/>
          <w:bCs/>
          <w:i/>
          <w:iCs/>
          <w:color w:val="000000"/>
          <w:kern w:val="0"/>
          <w:sz w:val="28"/>
          <w:szCs w:val="28"/>
          <w:lang w:val="el-GR"/>
          <w14:ligatures w14:val="none"/>
        </w:rPr>
        <w:t>Αναφορικά</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461151">
        <w:rPr>
          <w:rFonts w:ascii="Bookman Old Style" w:eastAsia="Times New Roman" w:hAnsi="Bookman Old Style" w:cs="Times New Roman"/>
          <w:b/>
          <w:bCs/>
          <w:i/>
          <w:iCs/>
          <w:color w:val="000000"/>
          <w:kern w:val="0"/>
          <w:sz w:val="28"/>
          <w:szCs w:val="28"/>
          <w:lang w:val="el-GR"/>
          <w14:ligatures w14:val="none"/>
        </w:rPr>
        <w:t>με</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461151">
        <w:rPr>
          <w:rFonts w:ascii="Bookman Old Style" w:eastAsia="Times New Roman" w:hAnsi="Bookman Old Style" w:cs="Times New Roman"/>
          <w:b/>
          <w:bCs/>
          <w:i/>
          <w:iCs/>
          <w:color w:val="000000"/>
          <w:kern w:val="0"/>
          <w:sz w:val="28"/>
          <w:szCs w:val="28"/>
          <w:lang w:val="el-GR"/>
          <w14:ligatures w14:val="none"/>
        </w:rPr>
        <w:t>την</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D95CAD">
        <w:rPr>
          <w:rFonts w:ascii="Bookman Old Style" w:eastAsia="Times New Roman" w:hAnsi="Bookman Old Style" w:cs="Times New Roman"/>
          <w:b/>
          <w:bCs/>
          <w:i/>
          <w:iCs/>
          <w:color w:val="000000"/>
          <w:kern w:val="0"/>
          <w:sz w:val="28"/>
          <w:szCs w:val="28"/>
          <w14:ligatures w14:val="none"/>
        </w:rPr>
        <w:t>B</w:t>
      </w:r>
      <w:r w:rsidR="00461151">
        <w:rPr>
          <w:rFonts w:ascii="Bookman Old Style" w:eastAsia="Times New Roman" w:hAnsi="Bookman Old Style" w:cs="Times New Roman"/>
          <w:b/>
          <w:bCs/>
          <w:i/>
          <w:iCs/>
          <w:color w:val="000000"/>
          <w:kern w:val="0"/>
          <w:sz w:val="28"/>
          <w:szCs w:val="28"/>
          <w14:ligatures w14:val="none"/>
        </w:rPr>
        <w:t>ank</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461151">
        <w:rPr>
          <w:rFonts w:ascii="Bookman Old Style" w:eastAsia="Times New Roman" w:hAnsi="Bookman Old Style" w:cs="Times New Roman"/>
          <w:b/>
          <w:bCs/>
          <w:i/>
          <w:iCs/>
          <w:color w:val="000000"/>
          <w:kern w:val="0"/>
          <w:sz w:val="28"/>
          <w:szCs w:val="28"/>
          <w14:ligatures w14:val="none"/>
        </w:rPr>
        <w:t>of</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461151">
        <w:rPr>
          <w:rFonts w:ascii="Bookman Old Style" w:eastAsia="Times New Roman" w:hAnsi="Bookman Old Style" w:cs="Times New Roman"/>
          <w:b/>
          <w:bCs/>
          <w:i/>
          <w:iCs/>
          <w:color w:val="000000"/>
          <w:kern w:val="0"/>
          <w:sz w:val="28"/>
          <w:szCs w:val="28"/>
          <w14:ligatures w14:val="none"/>
        </w:rPr>
        <w:t>Cyprus</w:t>
      </w:r>
      <w:r w:rsidR="00D95CAD" w:rsidRPr="00D95CAD">
        <w:rPr>
          <w:rFonts w:ascii="Bookman Old Style" w:eastAsia="Times New Roman" w:hAnsi="Bookman Old Style" w:cs="Times New Roman"/>
          <w:b/>
          <w:bCs/>
          <w:i/>
          <w:iCs/>
          <w:color w:val="000000"/>
          <w:kern w:val="0"/>
          <w:sz w:val="28"/>
          <w:szCs w:val="28"/>
          <w:lang w:val="el-GR"/>
          <w14:ligatures w14:val="none"/>
        </w:rPr>
        <w:t xml:space="preserve"> </w:t>
      </w:r>
      <w:r w:rsidR="00D95CAD">
        <w:rPr>
          <w:rFonts w:ascii="Bookman Old Style" w:eastAsia="Times New Roman" w:hAnsi="Bookman Old Style" w:cs="Times New Roman"/>
          <w:b/>
          <w:bCs/>
          <w:i/>
          <w:iCs/>
          <w:color w:val="000000"/>
          <w:kern w:val="0"/>
          <w:sz w:val="28"/>
          <w:szCs w:val="28"/>
          <w14:ligatures w14:val="none"/>
        </w:rPr>
        <w:t>Public</w:t>
      </w:r>
      <w:r w:rsidR="00D95CAD" w:rsidRPr="00D95CAD">
        <w:rPr>
          <w:rFonts w:ascii="Bookman Old Style" w:eastAsia="Times New Roman" w:hAnsi="Bookman Old Style" w:cs="Times New Roman"/>
          <w:b/>
          <w:bCs/>
          <w:i/>
          <w:iCs/>
          <w:color w:val="000000"/>
          <w:kern w:val="0"/>
          <w:sz w:val="28"/>
          <w:szCs w:val="28"/>
          <w:lang w:val="el-GR"/>
          <w14:ligatures w14:val="none"/>
        </w:rPr>
        <w:t xml:space="preserve"> </w:t>
      </w:r>
      <w:r w:rsidR="00D95CAD">
        <w:rPr>
          <w:rFonts w:ascii="Bookman Old Style" w:eastAsia="Times New Roman" w:hAnsi="Bookman Old Style" w:cs="Times New Roman"/>
          <w:b/>
          <w:bCs/>
          <w:i/>
          <w:iCs/>
          <w:color w:val="000000"/>
          <w:kern w:val="0"/>
          <w:sz w:val="28"/>
          <w:szCs w:val="28"/>
          <w14:ligatures w14:val="none"/>
        </w:rPr>
        <w:t>Company</w:t>
      </w:r>
      <w:r w:rsidR="00D95CAD" w:rsidRPr="00D95CAD">
        <w:rPr>
          <w:rFonts w:ascii="Bookman Old Style" w:eastAsia="Times New Roman" w:hAnsi="Bookman Old Style" w:cs="Times New Roman"/>
          <w:b/>
          <w:bCs/>
          <w:i/>
          <w:iCs/>
          <w:color w:val="000000"/>
          <w:kern w:val="0"/>
          <w:sz w:val="28"/>
          <w:szCs w:val="28"/>
          <w:lang w:val="el-GR"/>
          <w14:ligatures w14:val="none"/>
        </w:rPr>
        <w:t xml:space="preserve"> </w:t>
      </w:r>
      <w:r w:rsidR="00D95CAD">
        <w:rPr>
          <w:rFonts w:ascii="Bookman Old Style" w:eastAsia="Times New Roman" w:hAnsi="Bookman Old Style" w:cs="Times New Roman"/>
          <w:b/>
          <w:bCs/>
          <w:i/>
          <w:iCs/>
          <w:color w:val="000000"/>
          <w:kern w:val="0"/>
          <w:sz w:val="28"/>
          <w:szCs w:val="28"/>
          <w14:ligatures w14:val="none"/>
        </w:rPr>
        <w:t>Ltd</w:t>
      </w:r>
      <w:r w:rsidR="00D95CAD" w:rsidRPr="00D95CAD">
        <w:rPr>
          <w:rFonts w:ascii="Bookman Old Style" w:eastAsia="Times New Roman" w:hAnsi="Bookman Old Style" w:cs="Times New Roman"/>
          <w:b/>
          <w:bCs/>
          <w:i/>
          <w:iCs/>
          <w:color w:val="000000"/>
          <w:kern w:val="0"/>
          <w:sz w:val="28"/>
          <w:szCs w:val="28"/>
          <w:lang w:val="el-GR"/>
          <w14:ligatures w14:val="none"/>
        </w:rPr>
        <w:t xml:space="preserve">, </w:t>
      </w:r>
      <w:r w:rsidR="00D95CAD">
        <w:rPr>
          <w:rFonts w:ascii="Bookman Old Style" w:eastAsia="Times New Roman" w:hAnsi="Bookman Old Style" w:cs="Times New Roman"/>
          <w:b/>
          <w:bCs/>
          <w:i/>
          <w:iCs/>
          <w:color w:val="000000"/>
          <w:kern w:val="0"/>
          <w:sz w:val="28"/>
          <w:szCs w:val="28"/>
          <w:lang w:val="el-GR"/>
          <w14:ligatures w14:val="none"/>
        </w:rPr>
        <w:t>ΠΕ</w:t>
      </w:r>
      <w:r w:rsidR="00D95CAD" w:rsidRPr="00D95CAD">
        <w:rPr>
          <w:rFonts w:ascii="Bookman Old Style" w:eastAsia="Times New Roman" w:hAnsi="Bookman Old Style" w:cs="Times New Roman"/>
          <w:b/>
          <w:bCs/>
          <w:i/>
          <w:iCs/>
          <w:color w:val="000000"/>
          <w:kern w:val="0"/>
          <w:sz w:val="28"/>
          <w:szCs w:val="28"/>
          <w:lang w:val="el-GR"/>
          <w14:ligatures w14:val="none"/>
        </w:rPr>
        <w:t xml:space="preserve"> 12/21, </w:t>
      </w:r>
      <w:proofErr w:type="spellStart"/>
      <w:r w:rsidR="00D95CAD">
        <w:rPr>
          <w:rFonts w:ascii="Bookman Old Style" w:eastAsia="Times New Roman" w:hAnsi="Bookman Old Style" w:cs="Times New Roman"/>
          <w:b/>
          <w:bCs/>
          <w:i/>
          <w:iCs/>
          <w:color w:val="000000"/>
          <w:kern w:val="0"/>
          <w:sz w:val="28"/>
          <w:szCs w:val="28"/>
          <w:lang w:val="el-GR"/>
          <w14:ligatures w14:val="none"/>
        </w:rPr>
        <w:t>ημερ</w:t>
      </w:r>
      <w:proofErr w:type="spellEnd"/>
      <w:r w:rsidR="00D95CAD">
        <w:rPr>
          <w:rFonts w:ascii="Bookman Old Style" w:eastAsia="Times New Roman" w:hAnsi="Bookman Old Style" w:cs="Times New Roman"/>
          <w:b/>
          <w:bCs/>
          <w:i/>
          <w:iCs/>
          <w:color w:val="000000"/>
          <w:kern w:val="0"/>
          <w:sz w:val="28"/>
          <w:szCs w:val="28"/>
          <w:lang w:val="el-GR"/>
          <w14:ligatures w14:val="none"/>
        </w:rPr>
        <w:t>. 06.04.2021</w:t>
      </w:r>
      <w:r w:rsidR="00461151" w:rsidRPr="00D95CAD">
        <w:rPr>
          <w:rFonts w:ascii="Bookman Old Style" w:eastAsia="Times New Roman" w:hAnsi="Bookman Old Style" w:cs="Times New Roman"/>
          <w:b/>
          <w:bCs/>
          <w:i/>
          <w:iCs/>
          <w:color w:val="000000"/>
          <w:kern w:val="0"/>
          <w:sz w:val="28"/>
          <w:szCs w:val="28"/>
          <w:lang w:val="el-GR"/>
          <w14:ligatures w14:val="none"/>
        </w:rPr>
        <w:t xml:space="preserve"> </w:t>
      </w:r>
      <w:r w:rsidR="00C07ED2" w:rsidRPr="00D95CAD">
        <w:rPr>
          <w:rFonts w:ascii="Bookman Old Style" w:eastAsia="Times New Roman" w:hAnsi="Bookman Old Style" w:cs="Times New Roman"/>
          <w:color w:val="000000"/>
          <w:kern w:val="0"/>
          <w:sz w:val="28"/>
          <w:szCs w:val="28"/>
          <w:lang w:val="el-GR"/>
          <w14:ligatures w14:val="none"/>
        </w:rPr>
        <w:t>).</w:t>
      </w:r>
    </w:p>
    <w:p w14:paraId="6DA8E880" w14:textId="77777777" w:rsidR="00F75AB7" w:rsidRDefault="00F75AB7" w:rsidP="00F75AB7">
      <w:pPr>
        <w:pStyle w:val="BodyText"/>
        <w:tabs>
          <w:tab w:val="left" w:pos="509"/>
        </w:tabs>
        <w:spacing w:before="240" w:after="0" w:line="48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sz w:val="28"/>
          <w:szCs w:val="28"/>
          <w:lang w:val="el-GR" w:bidi="en-US"/>
        </w:rPr>
        <w:tab/>
      </w:r>
      <w:r w:rsidR="00A00554">
        <w:rPr>
          <w:rStyle w:val="BodyTextChar"/>
          <w:rFonts w:ascii="Bookman Old Style" w:hAnsi="Bookman Old Style"/>
          <w:sz w:val="28"/>
          <w:szCs w:val="28"/>
          <w:lang w:val="el-GR" w:bidi="en-US"/>
        </w:rPr>
        <w:t xml:space="preserve">Έχοντας κατά νου όλα τα πιο πάνω, </w:t>
      </w:r>
      <w:r w:rsidR="00CE4F56">
        <w:rPr>
          <w:rStyle w:val="BodyTextChar"/>
          <w:rFonts w:ascii="Bookman Old Style" w:hAnsi="Bookman Old Style"/>
          <w:sz w:val="28"/>
          <w:szCs w:val="28"/>
          <w:lang w:val="el-GR" w:bidi="en-US"/>
        </w:rPr>
        <w:t>είναι σημαντικό</w:t>
      </w:r>
      <w:r w:rsidR="0007795C">
        <w:rPr>
          <w:rStyle w:val="BodyTextChar"/>
          <w:rFonts w:ascii="Bookman Old Style" w:hAnsi="Bookman Old Style"/>
          <w:sz w:val="28"/>
          <w:szCs w:val="28"/>
          <w:lang w:val="el-GR" w:bidi="en-US"/>
        </w:rPr>
        <w:t xml:space="preserve"> </w:t>
      </w:r>
      <w:r w:rsidR="00D76792">
        <w:rPr>
          <w:rStyle w:val="BodyTextChar"/>
          <w:rFonts w:ascii="Bookman Old Style" w:hAnsi="Bookman Old Style"/>
          <w:sz w:val="28"/>
          <w:szCs w:val="28"/>
          <w:lang w:val="el-GR" w:bidi="en-US"/>
        </w:rPr>
        <w:t xml:space="preserve">να εντοπιστεί ότι στην </w:t>
      </w:r>
      <w:r w:rsidR="0007795C">
        <w:rPr>
          <w:rStyle w:val="BodyTextChar"/>
          <w:rFonts w:ascii="Bookman Old Style" w:hAnsi="Bookman Old Style"/>
          <w:sz w:val="28"/>
          <w:szCs w:val="28"/>
          <w:lang w:val="el-GR" w:bidi="en-US"/>
        </w:rPr>
        <w:t>υπό συζήτηση περίπτωση</w:t>
      </w:r>
      <w:r w:rsidR="000F0BD1">
        <w:rPr>
          <w:rStyle w:val="BodyTextChar"/>
          <w:rFonts w:ascii="Bookman Old Style" w:hAnsi="Bookman Old Style"/>
          <w:sz w:val="28"/>
          <w:szCs w:val="28"/>
          <w:lang w:val="el-GR" w:bidi="en-US"/>
        </w:rPr>
        <w:t>,</w:t>
      </w:r>
      <w:r w:rsidR="00CE4F56">
        <w:rPr>
          <w:rStyle w:val="BodyTextChar"/>
          <w:rFonts w:ascii="Bookman Old Style" w:hAnsi="Bookman Old Style"/>
          <w:sz w:val="28"/>
          <w:szCs w:val="28"/>
          <w:lang w:val="el-GR" w:bidi="en-US"/>
        </w:rPr>
        <w:t xml:space="preserve"> </w:t>
      </w:r>
      <w:r w:rsidR="00A00554">
        <w:rPr>
          <w:rStyle w:val="BodyTextChar"/>
          <w:rFonts w:ascii="Bookman Old Style" w:hAnsi="Bookman Old Style"/>
          <w:sz w:val="28"/>
          <w:szCs w:val="28"/>
          <w:lang w:val="el-GR" w:bidi="en-US"/>
        </w:rPr>
        <w:t xml:space="preserve">ο πυρήνας της υπόθεσης που απασχόλησε στην Αίτηση αρ. 123/2019, ήταν η έκδοση ή μη διατάγματος εκκαθάρισης του υποκαταστήματος της </w:t>
      </w:r>
      <w:r w:rsidR="00A00554">
        <w:rPr>
          <w:rStyle w:val="BodyTextChar"/>
          <w:rFonts w:ascii="Bookman Old Style" w:hAnsi="Bookman Old Style"/>
          <w:sz w:val="28"/>
          <w:szCs w:val="28"/>
          <w:lang w:bidi="en-US"/>
        </w:rPr>
        <w:t>FBME</w:t>
      </w:r>
      <w:r w:rsidR="00A00554" w:rsidRPr="00A00554">
        <w:rPr>
          <w:rStyle w:val="BodyTextChar"/>
          <w:rFonts w:ascii="Bookman Old Style" w:hAnsi="Bookman Old Style"/>
          <w:sz w:val="28"/>
          <w:szCs w:val="28"/>
          <w:lang w:val="el-GR" w:bidi="en-US"/>
        </w:rPr>
        <w:t xml:space="preserve"> </w:t>
      </w:r>
      <w:r w:rsidR="00A00554">
        <w:rPr>
          <w:rStyle w:val="BodyTextChar"/>
          <w:rFonts w:ascii="Bookman Old Style" w:hAnsi="Bookman Old Style"/>
          <w:sz w:val="28"/>
          <w:szCs w:val="28"/>
          <w:lang w:val="el-GR" w:bidi="en-US"/>
        </w:rPr>
        <w:t>στην Κύπρο</w:t>
      </w:r>
      <w:r w:rsidR="007B6A1D">
        <w:rPr>
          <w:rStyle w:val="BodyTextChar"/>
          <w:rFonts w:ascii="Bookman Old Style" w:hAnsi="Bookman Old Style"/>
          <w:sz w:val="28"/>
          <w:szCs w:val="28"/>
          <w:lang w:val="el-GR" w:bidi="en-US"/>
        </w:rPr>
        <w:t xml:space="preserve">. </w:t>
      </w:r>
      <w:r w:rsidR="00D76792">
        <w:rPr>
          <w:rStyle w:val="BodyTextChar"/>
          <w:rFonts w:ascii="Bookman Old Style" w:hAnsi="Bookman Old Style"/>
          <w:sz w:val="28"/>
          <w:szCs w:val="28"/>
          <w:lang w:val="el-GR" w:bidi="en-US"/>
        </w:rPr>
        <w:t xml:space="preserve"> </w:t>
      </w:r>
      <w:r w:rsidR="007B6A1D">
        <w:rPr>
          <w:rStyle w:val="BodyTextChar"/>
          <w:rFonts w:ascii="Bookman Old Style" w:hAnsi="Bookman Old Style"/>
          <w:sz w:val="28"/>
          <w:szCs w:val="28"/>
          <w:lang w:val="el-GR" w:bidi="en-US"/>
        </w:rPr>
        <w:t>Αίτημα</w:t>
      </w:r>
      <w:r w:rsidR="00A00554">
        <w:rPr>
          <w:rStyle w:val="BodyTextChar"/>
          <w:rFonts w:ascii="Bookman Old Style" w:hAnsi="Bookman Old Style"/>
          <w:sz w:val="28"/>
          <w:szCs w:val="28"/>
          <w:lang w:val="el-GR" w:bidi="en-US"/>
        </w:rPr>
        <w:t xml:space="preserve"> το οποίο</w:t>
      </w:r>
      <w:r w:rsidR="00540240">
        <w:rPr>
          <w:rStyle w:val="BodyTextChar"/>
          <w:rFonts w:ascii="Bookman Old Style" w:hAnsi="Bookman Old Style"/>
          <w:sz w:val="28"/>
          <w:szCs w:val="28"/>
          <w:lang w:val="el-GR" w:bidi="en-US"/>
        </w:rPr>
        <w:t>, στην συγκεκριμένη περίπτωση,</w:t>
      </w:r>
      <w:r w:rsidR="0010656E" w:rsidRPr="0010656E">
        <w:rPr>
          <w:rStyle w:val="BodyTextChar"/>
          <w:rFonts w:ascii="Bookman Old Style" w:hAnsi="Bookman Old Style"/>
          <w:sz w:val="28"/>
          <w:szCs w:val="28"/>
          <w:lang w:val="el-GR" w:bidi="en-US"/>
        </w:rPr>
        <w:t xml:space="preserve"> </w:t>
      </w:r>
      <w:r w:rsidR="0010656E">
        <w:rPr>
          <w:rStyle w:val="BodyTextChar"/>
          <w:rFonts w:ascii="Bookman Old Style" w:hAnsi="Bookman Old Style"/>
          <w:sz w:val="28"/>
          <w:szCs w:val="28"/>
          <w:lang w:val="el-GR" w:bidi="en-US"/>
        </w:rPr>
        <w:t>προωθείτο και</w:t>
      </w:r>
      <w:r w:rsidR="00A00554">
        <w:rPr>
          <w:rStyle w:val="BodyTextChar"/>
          <w:rFonts w:ascii="Bookman Old Style" w:hAnsi="Bookman Old Style"/>
          <w:sz w:val="28"/>
          <w:szCs w:val="28"/>
          <w:lang w:val="el-GR" w:bidi="en-US"/>
        </w:rPr>
        <w:t xml:space="preserve"> εδραζόταν </w:t>
      </w:r>
      <w:r w:rsidR="00256873">
        <w:rPr>
          <w:rStyle w:val="BodyTextChar"/>
          <w:rFonts w:ascii="Bookman Old Style" w:hAnsi="Bookman Old Style"/>
          <w:sz w:val="28"/>
          <w:szCs w:val="28"/>
          <w:lang w:val="el-GR" w:bidi="en-US"/>
        </w:rPr>
        <w:t>σε συγκεκριμένες</w:t>
      </w:r>
      <w:r w:rsidR="00A00554">
        <w:rPr>
          <w:rStyle w:val="BodyTextChar"/>
          <w:rFonts w:ascii="Bookman Old Style" w:hAnsi="Bookman Old Style"/>
          <w:sz w:val="28"/>
          <w:szCs w:val="28"/>
          <w:lang w:val="el-GR" w:bidi="en-US"/>
        </w:rPr>
        <w:t xml:space="preserve"> νομοθετικές </w:t>
      </w:r>
      <w:r w:rsidR="00256873">
        <w:rPr>
          <w:rStyle w:val="BodyTextChar"/>
          <w:rFonts w:ascii="Bookman Old Style" w:hAnsi="Bookman Old Style"/>
          <w:sz w:val="28"/>
          <w:szCs w:val="28"/>
          <w:lang w:val="el-GR" w:bidi="en-US"/>
        </w:rPr>
        <w:t>διατάξεις</w:t>
      </w:r>
      <w:r w:rsidR="008C13D3" w:rsidRPr="008C13D3">
        <w:rPr>
          <w:rStyle w:val="BodyTextChar"/>
          <w:rFonts w:ascii="Bookman Old Style" w:hAnsi="Bookman Old Style"/>
          <w:sz w:val="28"/>
          <w:szCs w:val="28"/>
          <w:lang w:val="el-GR" w:bidi="en-US"/>
        </w:rPr>
        <w:t xml:space="preserve">, </w:t>
      </w:r>
      <w:r w:rsidR="008C13D3">
        <w:rPr>
          <w:rStyle w:val="BodyTextChar"/>
          <w:rFonts w:ascii="Bookman Old Style" w:hAnsi="Bookman Old Style"/>
          <w:sz w:val="28"/>
          <w:szCs w:val="28"/>
          <w:lang w:val="el-GR" w:bidi="en-US"/>
        </w:rPr>
        <w:t xml:space="preserve">πρωτίστως στις πρόνοιες του </w:t>
      </w:r>
      <w:r w:rsidR="008C13D3" w:rsidRPr="0028055E">
        <w:rPr>
          <w:rStyle w:val="BodyTextChar"/>
          <w:rFonts w:ascii="Bookman Old Style" w:hAnsi="Bookman Old Style"/>
          <w:kern w:val="0"/>
          <w:sz w:val="28"/>
          <w:szCs w:val="28"/>
          <w:lang w:val="el-GR" w:bidi="en-US"/>
          <w14:ligatures w14:val="none"/>
        </w:rPr>
        <w:t>περί Εργασιών Πιστωτικών Ιδρυμάτων Νόμο</w:t>
      </w:r>
      <w:r w:rsidR="008C13D3">
        <w:rPr>
          <w:rStyle w:val="BodyTextChar"/>
          <w:rFonts w:ascii="Bookman Old Style" w:hAnsi="Bookman Old Style"/>
          <w:kern w:val="0"/>
          <w:sz w:val="28"/>
          <w:szCs w:val="28"/>
          <w:lang w:val="el-GR" w:bidi="en-US"/>
          <w14:ligatures w14:val="none"/>
        </w:rPr>
        <w:t>υ</w:t>
      </w:r>
      <w:r w:rsidR="008C13D3" w:rsidRPr="0028055E">
        <w:rPr>
          <w:rStyle w:val="BodyTextChar"/>
          <w:rFonts w:ascii="Bookman Old Style" w:hAnsi="Bookman Old Style"/>
          <w:kern w:val="0"/>
          <w:sz w:val="28"/>
          <w:szCs w:val="28"/>
          <w:lang w:val="el-GR" w:bidi="en-US"/>
          <w14:ligatures w14:val="none"/>
        </w:rPr>
        <w:t xml:space="preserve"> του 1997 (Ν.66(Ι)/1997)</w:t>
      </w:r>
      <w:r w:rsidR="00256873">
        <w:rPr>
          <w:rStyle w:val="BodyTextChar"/>
          <w:rFonts w:ascii="Bookman Old Style" w:hAnsi="Bookman Old Style"/>
          <w:sz w:val="28"/>
          <w:szCs w:val="28"/>
          <w:lang w:val="el-GR" w:bidi="en-US"/>
        </w:rPr>
        <w:t xml:space="preserve">. </w:t>
      </w:r>
      <w:r w:rsidR="007B6A1D">
        <w:rPr>
          <w:rStyle w:val="BodyTextChar"/>
          <w:rFonts w:ascii="Bookman Old Style" w:hAnsi="Bookman Old Style"/>
          <w:sz w:val="28"/>
          <w:szCs w:val="28"/>
          <w:lang w:val="el-GR" w:bidi="en-US"/>
        </w:rPr>
        <w:t xml:space="preserve">Διαπιστώνεται ότι η </w:t>
      </w:r>
      <w:r w:rsidR="00256873">
        <w:rPr>
          <w:rStyle w:val="BodyTextChar"/>
          <w:rFonts w:ascii="Bookman Old Style" w:hAnsi="Bookman Old Style"/>
          <w:sz w:val="28"/>
          <w:szCs w:val="28"/>
          <w:lang w:val="el-GR" w:bidi="en-US"/>
        </w:rPr>
        <w:t>απόφαση</w:t>
      </w:r>
      <w:r w:rsidR="00CE4F56">
        <w:rPr>
          <w:rStyle w:val="BodyTextChar"/>
          <w:rFonts w:ascii="Bookman Old Style" w:hAnsi="Bookman Old Style"/>
          <w:sz w:val="28"/>
          <w:szCs w:val="28"/>
          <w:lang w:val="el-GR" w:bidi="en-US"/>
        </w:rPr>
        <w:t>,</w:t>
      </w:r>
      <w:r w:rsidR="00256873">
        <w:rPr>
          <w:rStyle w:val="BodyTextChar"/>
          <w:rFonts w:ascii="Bookman Old Style" w:hAnsi="Bookman Old Style"/>
          <w:sz w:val="28"/>
          <w:szCs w:val="28"/>
          <w:lang w:val="el-GR" w:bidi="en-US"/>
        </w:rPr>
        <w:t xml:space="preserve"> </w:t>
      </w:r>
      <w:r w:rsidR="00A00554">
        <w:rPr>
          <w:rStyle w:val="BodyTextChar"/>
          <w:rFonts w:ascii="Bookman Old Style" w:hAnsi="Bookman Old Style"/>
          <w:sz w:val="28"/>
          <w:szCs w:val="28"/>
          <w:lang w:val="el-GR" w:bidi="en-US"/>
        </w:rPr>
        <w:t xml:space="preserve">ημερομηνίας </w:t>
      </w:r>
      <w:r w:rsidR="00256873">
        <w:rPr>
          <w:rStyle w:val="BodyTextChar"/>
          <w:rFonts w:ascii="Bookman Old Style" w:hAnsi="Bookman Old Style"/>
          <w:sz w:val="28"/>
          <w:szCs w:val="28"/>
          <w:lang w:val="el-GR" w:bidi="en-US"/>
        </w:rPr>
        <w:t xml:space="preserve">29.06.2023, για την οποία επιζητείται η άδεια καταχώρησης Αίτησης δια κλήσεως για έκδοση Προνομιακού </w:t>
      </w:r>
      <w:r w:rsidR="00FA354C">
        <w:rPr>
          <w:rStyle w:val="BodyTextChar"/>
          <w:rFonts w:ascii="Bookman Old Style" w:hAnsi="Bookman Old Style"/>
          <w:sz w:val="28"/>
          <w:szCs w:val="28"/>
          <w:lang w:val="el-GR" w:bidi="en-US"/>
        </w:rPr>
        <w:t>Ε</w:t>
      </w:r>
      <w:r w:rsidR="00256873">
        <w:rPr>
          <w:rStyle w:val="BodyTextChar"/>
          <w:rFonts w:ascii="Bookman Old Style" w:hAnsi="Bookman Old Style"/>
          <w:sz w:val="28"/>
          <w:szCs w:val="28"/>
          <w:lang w:val="el-GR" w:bidi="en-US"/>
        </w:rPr>
        <w:t xml:space="preserve">ντάλματος </w:t>
      </w:r>
      <w:r w:rsidR="00256873">
        <w:rPr>
          <w:rStyle w:val="BodyTextChar"/>
          <w:rFonts w:ascii="Bookman Old Style" w:hAnsi="Bookman Old Style"/>
          <w:sz w:val="28"/>
          <w:szCs w:val="28"/>
          <w:lang w:bidi="en-US"/>
        </w:rPr>
        <w:t>certiorari</w:t>
      </w:r>
      <w:r w:rsidR="00256873" w:rsidRPr="00256873">
        <w:rPr>
          <w:rStyle w:val="BodyTextChar"/>
          <w:rFonts w:ascii="Bookman Old Style" w:hAnsi="Bookman Old Style"/>
          <w:sz w:val="28"/>
          <w:szCs w:val="28"/>
          <w:lang w:val="el-GR" w:bidi="en-US"/>
        </w:rPr>
        <w:t xml:space="preserve">, </w:t>
      </w:r>
      <w:r w:rsidR="00256873">
        <w:rPr>
          <w:rStyle w:val="BodyTextChar"/>
          <w:rFonts w:ascii="Bookman Old Style" w:hAnsi="Bookman Old Style"/>
          <w:sz w:val="28"/>
          <w:szCs w:val="28"/>
          <w:lang w:val="el-GR" w:bidi="en-US"/>
        </w:rPr>
        <w:t xml:space="preserve">(τεκμήριο 4 στην ένορκη δήλωση του </w:t>
      </w:r>
      <w:proofErr w:type="spellStart"/>
      <w:r w:rsidR="00B5502E" w:rsidRPr="0098687C">
        <w:rPr>
          <w:rStyle w:val="BodyTextChar"/>
          <w:rFonts w:ascii="Bookman Old Style" w:hAnsi="Bookman Old Style"/>
          <w:sz w:val="28"/>
          <w:szCs w:val="28"/>
          <w:lang w:val="el-GR" w:bidi="en-US"/>
        </w:rPr>
        <w:t>Ayoub</w:t>
      </w:r>
      <w:proofErr w:type="spellEnd"/>
      <w:r w:rsidR="00B5502E" w:rsidRPr="0098687C">
        <w:rPr>
          <w:rStyle w:val="BodyTextChar"/>
          <w:rFonts w:ascii="Bookman Old Style" w:hAnsi="Bookman Old Style"/>
          <w:sz w:val="28"/>
          <w:szCs w:val="28"/>
          <w:lang w:val="el-GR" w:bidi="en-US"/>
        </w:rPr>
        <w:t xml:space="preserve"> </w:t>
      </w:r>
      <w:proofErr w:type="spellStart"/>
      <w:r w:rsidR="00B5502E" w:rsidRPr="0098687C">
        <w:rPr>
          <w:rStyle w:val="BodyTextChar"/>
          <w:rFonts w:ascii="Bookman Old Style" w:hAnsi="Bookman Old Style"/>
          <w:sz w:val="28"/>
          <w:szCs w:val="28"/>
          <w:lang w:val="el-GR" w:bidi="en-US"/>
        </w:rPr>
        <w:t>Farid</w:t>
      </w:r>
      <w:proofErr w:type="spellEnd"/>
      <w:r w:rsidR="00B5502E" w:rsidRPr="0098687C">
        <w:rPr>
          <w:rStyle w:val="BodyTextChar"/>
          <w:rFonts w:ascii="Bookman Old Style" w:hAnsi="Bookman Old Style"/>
          <w:sz w:val="28"/>
          <w:szCs w:val="28"/>
          <w:lang w:val="el-GR" w:bidi="en-US"/>
        </w:rPr>
        <w:t xml:space="preserve"> </w:t>
      </w:r>
      <w:proofErr w:type="spellStart"/>
      <w:r w:rsidR="00B5502E" w:rsidRPr="0098687C">
        <w:rPr>
          <w:rStyle w:val="BodyTextChar"/>
          <w:rFonts w:ascii="Bookman Old Style" w:hAnsi="Bookman Old Style"/>
          <w:sz w:val="28"/>
          <w:szCs w:val="28"/>
          <w:lang w:val="el-GR" w:bidi="en-US"/>
        </w:rPr>
        <w:t>Michel</w:t>
      </w:r>
      <w:proofErr w:type="spellEnd"/>
      <w:r w:rsidR="00B5502E" w:rsidRPr="0098687C">
        <w:rPr>
          <w:rStyle w:val="BodyTextChar"/>
          <w:rFonts w:ascii="Bookman Old Style" w:hAnsi="Bookman Old Style"/>
          <w:sz w:val="28"/>
          <w:szCs w:val="28"/>
          <w:lang w:val="el-GR" w:bidi="en-US"/>
        </w:rPr>
        <w:t xml:space="preserve"> Saab</w:t>
      </w:r>
      <w:r w:rsidR="00B5502E">
        <w:rPr>
          <w:rStyle w:val="BodyTextChar"/>
          <w:rFonts w:ascii="Bookman Old Style" w:hAnsi="Bookman Old Style"/>
          <w:sz w:val="28"/>
          <w:szCs w:val="28"/>
          <w:lang w:val="el-GR" w:bidi="en-US"/>
        </w:rPr>
        <w:t>) πραγματεύεται και σε έκταση συζητά</w:t>
      </w:r>
      <w:r w:rsidR="007B6A1D">
        <w:rPr>
          <w:rStyle w:val="BodyTextChar"/>
          <w:rFonts w:ascii="Bookman Old Style" w:hAnsi="Bookman Old Style"/>
          <w:sz w:val="28"/>
          <w:szCs w:val="28"/>
          <w:lang w:val="el-GR" w:bidi="en-US"/>
        </w:rPr>
        <w:t xml:space="preserve"> κ</w:t>
      </w:r>
      <w:r w:rsidR="00B5502E">
        <w:rPr>
          <w:rStyle w:val="BodyTextChar"/>
          <w:rFonts w:ascii="Bookman Old Style" w:hAnsi="Bookman Old Style"/>
          <w:kern w:val="0"/>
          <w:sz w:val="28"/>
          <w:szCs w:val="28"/>
          <w:lang w:val="el-GR" w:bidi="en-US"/>
          <w14:ligatures w14:val="none"/>
        </w:rPr>
        <w:t xml:space="preserve">ατά πόσο συντρέχουν οι εκ του Νόμου προϋποθέσεις </w:t>
      </w:r>
      <w:r w:rsidR="008C13D3">
        <w:rPr>
          <w:rStyle w:val="BodyTextChar"/>
          <w:rFonts w:ascii="Bookman Old Style" w:hAnsi="Bookman Old Style"/>
          <w:kern w:val="0"/>
          <w:sz w:val="28"/>
          <w:szCs w:val="28"/>
          <w:lang w:val="el-GR" w:bidi="en-US"/>
          <w14:ligatures w14:val="none"/>
        </w:rPr>
        <w:t xml:space="preserve">(άρθρο 33Β του Ν. 66(Ι)/1997) </w:t>
      </w:r>
      <w:r w:rsidR="00B5502E">
        <w:rPr>
          <w:rStyle w:val="BodyTextChar"/>
          <w:rFonts w:ascii="Bookman Old Style" w:hAnsi="Bookman Old Style"/>
          <w:kern w:val="0"/>
          <w:sz w:val="28"/>
          <w:szCs w:val="28"/>
          <w:lang w:val="el-GR" w:bidi="en-US"/>
          <w14:ligatures w14:val="none"/>
        </w:rPr>
        <w:t>για την έκδοση ή μη του αιτούμενου διατάγματος εκκαθάρισης</w:t>
      </w:r>
      <w:r w:rsidR="007F0351" w:rsidRPr="007F0351">
        <w:rPr>
          <w:rStyle w:val="Heading2"/>
          <w:rFonts w:ascii="Bookman Old Style" w:hAnsi="Bookman Old Style"/>
          <w:sz w:val="28"/>
          <w:szCs w:val="28"/>
          <w:lang w:val="el-GR" w:bidi="en-US"/>
        </w:rPr>
        <w:t xml:space="preserve"> </w:t>
      </w:r>
      <w:r w:rsidR="007F0351">
        <w:rPr>
          <w:rStyle w:val="BodyTextChar"/>
          <w:rFonts w:ascii="Bookman Old Style" w:hAnsi="Bookman Old Style"/>
          <w:sz w:val="28"/>
          <w:szCs w:val="28"/>
          <w:lang w:val="el-GR" w:bidi="en-US"/>
        </w:rPr>
        <w:t xml:space="preserve">του υποκαταστήματος της </w:t>
      </w:r>
      <w:r w:rsidR="007F0351">
        <w:rPr>
          <w:rStyle w:val="BodyTextChar"/>
          <w:rFonts w:ascii="Bookman Old Style" w:hAnsi="Bookman Old Style"/>
          <w:kern w:val="0"/>
          <w:sz w:val="28"/>
          <w:szCs w:val="28"/>
          <w:lang w:bidi="en-US"/>
          <w14:ligatures w14:val="none"/>
        </w:rPr>
        <w:t>FBME</w:t>
      </w:r>
      <w:r w:rsidR="007F0351">
        <w:rPr>
          <w:rStyle w:val="BodyTextChar"/>
          <w:rFonts w:ascii="Bookman Old Style" w:hAnsi="Bookman Old Style"/>
          <w:kern w:val="0"/>
          <w:sz w:val="28"/>
          <w:szCs w:val="28"/>
          <w:lang w:val="el-GR" w:bidi="en-US"/>
          <w14:ligatures w14:val="none"/>
        </w:rPr>
        <w:t xml:space="preserve"> Β</w:t>
      </w:r>
      <w:proofErr w:type="spellStart"/>
      <w:r w:rsidR="007F0351">
        <w:rPr>
          <w:rStyle w:val="BodyTextChar"/>
          <w:rFonts w:ascii="Bookman Old Style" w:hAnsi="Bookman Old Style"/>
          <w:kern w:val="0"/>
          <w:sz w:val="28"/>
          <w:szCs w:val="28"/>
          <w:lang w:bidi="en-US"/>
          <w14:ligatures w14:val="none"/>
        </w:rPr>
        <w:t>ank</w:t>
      </w:r>
      <w:proofErr w:type="spellEnd"/>
      <w:r w:rsidR="007F0351" w:rsidRPr="002142F8">
        <w:rPr>
          <w:rStyle w:val="BodyTextChar"/>
          <w:rFonts w:ascii="Bookman Old Style" w:hAnsi="Bookman Old Style"/>
          <w:kern w:val="0"/>
          <w:sz w:val="28"/>
          <w:szCs w:val="28"/>
          <w:lang w:val="el-GR" w:bidi="en-US"/>
          <w14:ligatures w14:val="none"/>
        </w:rPr>
        <w:t xml:space="preserve"> </w:t>
      </w:r>
      <w:r w:rsidR="007F0351">
        <w:rPr>
          <w:rStyle w:val="BodyTextChar"/>
          <w:rFonts w:ascii="Bookman Old Style" w:hAnsi="Bookman Old Style"/>
          <w:kern w:val="0"/>
          <w:sz w:val="28"/>
          <w:szCs w:val="28"/>
          <w:lang w:bidi="en-US"/>
          <w14:ligatures w14:val="none"/>
        </w:rPr>
        <w:t>Limited</w:t>
      </w:r>
      <w:r w:rsidR="007F0351">
        <w:rPr>
          <w:rStyle w:val="BodyTextChar"/>
          <w:rFonts w:ascii="Bookman Old Style" w:hAnsi="Bookman Old Style"/>
          <w:kern w:val="0"/>
          <w:sz w:val="28"/>
          <w:szCs w:val="28"/>
          <w:lang w:val="el-GR" w:bidi="en-US"/>
          <w14:ligatures w14:val="none"/>
        </w:rPr>
        <w:t xml:space="preserve"> στην Κύπρο.</w:t>
      </w:r>
      <w:r w:rsidR="008C13D3">
        <w:rPr>
          <w:rStyle w:val="BodyTextChar"/>
          <w:rFonts w:ascii="Bookman Old Style" w:hAnsi="Bookman Old Style"/>
          <w:kern w:val="0"/>
          <w:sz w:val="28"/>
          <w:szCs w:val="28"/>
          <w:lang w:val="el-GR" w:bidi="en-US"/>
          <w14:ligatures w14:val="none"/>
        </w:rPr>
        <w:t xml:space="preserve"> </w:t>
      </w:r>
      <w:r w:rsidR="007F0351">
        <w:rPr>
          <w:rStyle w:val="BodyTextChar"/>
          <w:rFonts w:ascii="Bookman Old Style" w:hAnsi="Bookman Old Style"/>
          <w:kern w:val="0"/>
          <w:sz w:val="28"/>
          <w:szCs w:val="28"/>
          <w:lang w:val="el-GR" w:bidi="en-US"/>
          <w14:ligatures w14:val="none"/>
        </w:rPr>
        <w:t xml:space="preserve"> </w:t>
      </w:r>
      <w:r w:rsidR="00645A48">
        <w:rPr>
          <w:rStyle w:val="BodyTextChar"/>
          <w:rFonts w:ascii="Bookman Old Style" w:hAnsi="Bookman Old Style"/>
          <w:kern w:val="0"/>
          <w:sz w:val="28"/>
          <w:szCs w:val="28"/>
          <w:lang w:val="el-GR" w:bidi="en-US"/>
          <w14:ligatures w14:val="none"/>
        </w:rPr>
        <w:t>Είναι προφανές</w:t>
      </w:r>
      <w:r w:rsidR="00CE4F56">
        <w:rPr>
          <w:rStyle w:val="BodyTextChar"/>
          <w:rFonts w:ascii="Bookman Old Style" w:hAnsi="Bookman Old Style"/>
          <w:kern w:val="0"/>
          <w:sz w:val="28"/>
          <w:szCs w:val="28"/>
          <w:lang w:val="el-GR" w:bidi="en-US"/>
          <w14:ligatures w14:val="none"/>
        </w:rPr>
        <w:t xml:space="preserve">, </w:t>
      </w:r>
      <w:r w:rsidR="00645A48">
        <w:rPr>
          <w:rStyle w:val="BodyTextChar"/>
          <w:rFonts w:ascii="Bookman Old Style" w:hAnsi="Bookman Old Style"/>
          <w:kern w:val="0"/>
          <w:sz w:val="28"/>
          <w:szCs w:val="28"/>
          <w:lang w:val="el-GR" w:bidi="en-US"/>
          <w14:ligatures w14:val="none"/>
        </w:rPr>
        <w:t xml:space="preserve">ότι στην ως άνω απόφαση, η </w:t>
      </w:r>
      <w:r w:rsidR="006147B5">
        <w:rPr>
          <w:rStyle w:val="BodyTextChar"/>
          <w:rFonts w:ascii="Bookman Old Style" w:hAnsi="Bookman Old Style"/>
          <w:kern w:val="0"/>
          <w:sz w:val="28"/>
          <w:szCs w:val="28"/>
          <w:lang w:val="el-GR" w:bidi="en-US"/>
          <w14:ligatures w14:val="none"/>
        </w:rPr>
        <w:t xml:space="preserve">συμφωνία ημερομηνίας 12.12.2022 μεταξύ της Κεντρικής Τράπεζας της Κύπρου και του </w:t>
      </w:r>
      <w:r w:rsidR="006147B5">
        <w:rPr>
          <w:rStyle w:val="BodyTextChar"/>
          <w:rFonts w:ascii="Bookman Old Style" w:hAnsi="Bookman Old Style"/>
          <w:kern w:val="0"/>
          <w:sz w:val="28"/>
          <w:szCs w:val="28"/>
          <w:lang w:bidi="en-US"/>
          <w14:ligatures w14:val="none"/>
        </w:rPr>
        <w:t>DIB</w:t>
      </w:r>
      <w:r w:rsidR="006147B5" w:rsidRPr="006147B5">
        <w:rPr>
          <w:rStyle w:val="BodyTextChar"/>
          <w:rFonts w:ascii="Bookman Old Style" w:hAnsi="Bookman Old Style"/>
          <w:kern w:val="0"/>
          <w:sz w:val="28"/>
          <w:szCs w:val="28"/>
          <w:lang w:val="el-GR" w:bidi="en-US"/>
          <w14:ligatures w14:val="none"/>
        </w:rPr>
        <w:t xml:space="preserve"> </w:t>
      </w:r>
      <w:r w:rsidR="006147B5">
        <w:rPr>
          <w:rStyle w:val="BodyTextChar"/>
          <w:rFonts w:ascii="Bookman Old Style" w:hAnsi="Bookman Old Style"/>
          <w:kern w:val="0"/>
          <w:sz w:val="28"/>
          <w:szCs w:val="28"/>
          <w:lang w:val="el-GR" w:bidi="en-US"/>
          <w14:ligatures w14:val="none"/>
        </w:rPr>
        <w:t xml:space="preserve">Τανζανίας, η οποία παρουσιάστηκε στο Δικαστήριο και </w:t>
      </w:r>
      <w:r w:rsidR="005F7E99">
        <w:rPr>
          <w:rStyle w:val="BodyTextChar"/>
          <w:rFonts w:ascii="Bookman Old Style" w:hAnsi="Bookman Old Style"/>
          <w:kern w:val="0"/>
          <w:sz w:val="28"/>
          <w:szCs w:val="28"/>
          <w:lang w:val="el-GR" w:bidi="en-US"/>
          <w14:ligatures w14:val="none"/>
        </w:rPr>
        <w:t xml:space="preserve">καταχαρούμενη ενσωματώθηκε </w:t>
      </w:r>
      <w:r w:rsidR="006147B5">
        <w:rPr>
          <w:rStyle w:val="BodyTextChar"/>
          <w:rFonts w:ascii="Bookman Old Style" w:hAnsi="Bookman Old Style"/>
          <w:kern w:val="0"/>
          <w:sz w:val="28"/>
          <w:szCs w:val="28"/>
          <w:lang w:val="el-GR" w:bidi="en-US"/>
          <w14:ligatures w14:val="none"/>
        </w:rPr>
        <w:t>στο φάκελο της Διαδικασίας</w:t>
      </w:r>
      <w:r w:rsidR="004C5E71">
        <w:rPr>
          <w:rStyle w:val="BodyTextChar"/>
          <w:rFonts w:ascii="Bookman Old Style" w:hAnsi="Bookman Old Style"/>
          <w:kern w:val="0"/>
          <w:sz w:val="28"/>
          <w:szCs w:val="28"/>
          <w:lang w:val="el-GR" w:bidi="en-US"/>
          <w14:ligatures w14:val="none"/>
        </w:rPr>
        <w:t xml:space="preserve">, </w:t>
      </w:r>
      <w:r w:rsidR="00650AF3">
        <w:rPr>
          <w:rStyle w:val="BodyTextChar"/>
          <w:rFonts w:ascii="Bookman Old Style" w:hAnsi="Bookman Old Style"/>
          <w:kern w:val="0"/>
          <w:sz w:val="28"/>
          <w:szCs w:val="28"/>
          <w:lang w:val="el-GR" w:bidi="en-US"/>
          <w14:ligatures w14:val="none"/>
        </w:rPr>
        <w:t xml:space="preserve">δεν αποτέλεσε αντικείμενο πραγμάτευσης </w:t>
      </w:r>
      <w:r w:rsidR="00D97D0B">
        <w:rPr>
          <w:rStyle w:val="BodyTextChar"/>
          <w:rFonts w:ascii="Bookman Old Style" w:hAnsi="Bookman Old Style"/>
          <w:kern w:val="0"/>
          <w:sz w:val="28"/>
          <w:szCs w:val="28"/>
          <w:lang w:val="el-GR" w:bidi="en-US"/>
          <w14:ligatures w14:val="none"/>
        </w:rPr>
        <w:t>ή</w:t>
      </w:r>
      <w:r w:rsidR="00650AF3">
        <w:rPr>
          <w:rStyle w:val="BodyTextChar"/>
          <w:rFonts w:ascii="Bookman Old Style" w:hAnsi="Bookman Old Style"/>
          <w:kern w:val="0"/>
          <w:sz w:val="28"/>
          <w:szCs w:val="28"/>
          <w:lang w:val="el-GR" w:bidi="en-US"/>
          <w14:ligatures w14:val="none"/>
        </w:rPr>
        <w:t xml:space="preserve"> βάση για την εξέταση </w:t>
      </w:r>
      <w:r w:rsidR="00D97D0B">
        <w:rPr>
          <w:rStyle w:val="BodyTextChar"/>
          <w:rFonts w:ascii="Bookman Old Style" w:hAnsi="Bookman Old Style"/>
          <w:kern w:val="0"/>
          <w:sz w:val="28"/>
          <w:szCs w:val="28"/>
          <w:lang w:val="el-GR" w:bidi="en-US"/>
          <w14:ligatures w14:val="none"/>
        </w:rPr>
        <w:t xml:space="preserve">της Αίτησης αρ. 123/2019. Τούτο, άλλωστε, ως τέθηκε υπόψη του Δικαστηρίου μέσω της ένορκης δήλωσης που συνοδεύει και υποστηρίζει την υπό συζήτηση αίτηση, ρητά </w:t>
      </w:r>
      <w:r w:rsidR="00645A48">
        <w:rPr>
          <w:rStyle w:val="BodyTextChar"/>
          <w:rFonts w:ascii="Bookman Old Style" w:hAnsi="Bookman Old Style"/>
          <w:kern w:val="0"/>
          <w:sz w:val="28"/>
          <w:szCs w:val="28"/>
          <w:lang w:val="el-GR" w:bidi="en-US"/>
          <w14:ligatures w14:val="none"/>
        </w:rPr>
        <w:t xml:space="preserve">επισημάνθηκε </w:t>
      </w:r>
      <w:r w:rsidR="00CE4F56">
        <w:rPr>
          <w:rStyle w:val="BodyTextChar"/>
          <w:rFonts w:ascii="Bookman Old Style" w:hAnsi="Bookman Old Style"/>
          <w:kern w:val="0"/>
          <w:sz w:val="28"/>
          <w:szCs w:val="28"/>
          <w:lang w:val="el-GR" w:bidi="en-US"/>
          <w14:ligatures w14:val="none"/>
        </w:rPr>
        <w:t xml:space="preserve">και διακηρύχθηκε </w:t>
      </w:r>
      <w:r w:rsidR="00D97D0B">
        <w:rPr>
          <w:rStyle w:val="BodyTextChar"/>
          <w:rFonts w:ascii="Bookman Old Style" w:hAnsi="Bookman Old Style"/>
          <w:kern w:val="0"/>
          <w:sz w:val="28"/>
          <w:szCs w:val="28"/>
          <w:lang w:val="el-GR" w:bidi="en-US"/>
          <w14:ligatures w14:val="none"/>
        </w:rPr>
        <w:t xml:space="preserve">από το Δικαστήριο καθ’ ον χρόνο το τελευταίο αποφάσιζε, πριν από την έναρξη της </w:t>
      </w:r>
      <w:r w:rsidR="007F0351">
        <w:rPr>
          <w:rStyle w:val="BodyTextChar"/>
          <w:rFonts w:ascii="Bookman Old Style" w:hAnsi="Bookman Old Style"/>
          <w:kern w:val="0"/>
          <w:sz w:val="28"/>
          <w:szCs w:val="28"/>
          <w:lang w:val="el-GR" w:bidi="en-US"/>
          <w14:ligatures w14:val="none"/>
        </w:rPr>
        <w:t>ακρόασης της Αίτηση αρ. 213/2019</w:t>
      </w:r>
      <w:r w:rsidR="00645A48">
        <w:rPr>
          <w:rStyle w:val="BodyTextChar"/>
          <w:rFonts w:ascii="Bookman Old Style" w:hAnsi="Bookman Old Style"/>
          <w:kern w:val="0"/>
          <w:sz w:val="28"/>
          <w:szCs w:val="28"/>
          <w:lang w:val="el-GR" w:bidi="en-US"/>
          <w14:ligatures w14:val="none"/>
        </w:rPr>
        <w:t>,</w:t>
      </w:r>
      <w:r w:rsidR="007F0351">
        <w:rPr>
          <w:rStyle w:val="BodyTextChar"/>
          <w:rFonts w:ascii="Bookman Old Style" w:hAnsi="Bookman Old Style"/>
          <w:kern w:val="0"/>
          <w:sz w:val="28"/>
          <w:szCs w:val="28"/>
          <w:lang w:val="el-GR" w:bidi="en-US"/>
          <w14:ligatures w14:val="none"/>
        </w:rPr>
        <w:t xml:space="preserve"> </w:t>
      </w:r>
      <w:r w:rsidR="00D97D0B">
        <w:rPr>
          <w:rStyle w:val="BodyTextChar"/>
          <w:rFonts w:ascii="Bookman Old Style" w:hAnsi="Bookman Old Style"/>
          <w:kern w:val="0"/>
          <w:sz w:val="28"/>
          <w:szCs w:val="28"/>
          <w:lang w:val="el-GR" w:bidi="en-US"/>
          <w14:ligatures w14:val="none"/>
        </w:rPr>
        <w:t xml:space="preserve">να καταστήσει </w:t>
      </w:r>
      <w:r w:rsidR="00645A48">
        <w:rPr>
          <w:rStyle w:val="BodyTextChar"/>
          <w:rFonts w:ascii="Bookman Old Style" w:hAnsi="Bookman Old Style"/>
          <w:kern w:val="0"/>
          <w:sz w:val="28"/>
          <w:szCs w:val="28"/>
          <w:lang w:val="el-GR" w:bidi="en-US"/>
          <w14:ligatures w14:val="none"/>
        </w:rPr>
        <w:t xml:space="preserve">την συμφωνία </w:t>
      </w:r>
      <w:r w:rsidR="00D97D0B">
        <w:rPr>
          <w:rStyle w:val="BodyTextChar"/>
          <w:rFonts w:ascii="Bookman Old Style" w:hAnsi="Bookman Old Style"/>
          <w:kern w:val="0"/>
          <w:sz w:val="28"/>
          <w:szCs w:val="28"/>
          <w:lang w:val="el-GR" w:bidi="en-US"/>
          <w14:ligatures w14:val="none"/>
        </w:rPr>
        <w:t xml:space="preserve">μέρος του φακέλου της </w:t>
      </w:r>
      <w:r w:rsidR="00CE4F56">
        <w:rPr>
          <w:rStyle w:val="BodyTextChar"/>
          <w:rFonts w:ascii="Bookman Old Style" w:hAnsi="Bookman Old Style"/>
          <w:kern w:val="0"/>
          <w:sz w:val="28"/>
          <w:szCs w:val="28"/>
          <w:lang w:val="el-GR" w:bidi="en-US"/>
          <w14:ligatures w14:val="none"/>
        </w:rPr>
        <w:t xml:space="preserve">σχετικής </w:t>
      </w:r>
      <w:r w:rsidR="00D97D0B">
        <w:rPr>
          <w:rStyle w:val="BodyTextChar"/>
          <w:rFonts w:ascii="Bookman Old Style" w:hAnsi="Bookman Old Style"/>
          <w:kern w:val="0"/>
          <w:sz w:val="28"/>
          <w:szCs w:val="28"/>
          <w:lang w:val="el-GR" w:bidi="en-US"/>
          <w14:ligatures w14:val="none"/>
        </w:rPr>
        <w:t>διαδικασίας</w:t>
      </w:r>
      <w:r w:rsidR="007F0351">
        <w:rPr>
          <w:rStyle w:val="BodyTextChar"/>
          <w:rFonts w:ascii="Bookman Old Style" w:hAnsi="Bookman Old Style"/>
          <w:kern w:val="0"/>
          <w:sz w:val="28"/>
          <w:szCs w:val="28"/>
          <w:lang w:val="el-GR" w:bidi="en-US"/>
          <w14:ligatures w14:val="none"/>
        </w:rPr>
        <w:t>.</w:t>
      </w:r>
      <w:r w:rsidR="00B5502E">
        <w:rPr>
          <w:rStyle w:val="BodyTextChar"/>
          <w:rFonts w:ascii="Bookman Old Style" w:hAnsi="Bookman Old Style"/>
          <w:sz w:val="28"/>
          <w:szCs w:val="28"/>
          <w:lang w:val="el-GR" w:bidi="en-US"/>
        </w:rPr>
        <w:t xml:space="preserve">  </w:t>
      </w:r>
      <w:r w:rsidR="00CD6AF2">
        <w:rPr>
          <w:rStyle w:val="BodyTextChar"/>
          <w:rFonts w:ascii="Bookman Old Style" w:hAnsi="Bookman Old Style"/>
          <w:kern w:val="0"/>
          <w:sz w:val="28"/>
          <w:szCs w:val="28"/>
          <w:lang w:val="el-GR" w:bidi="en-US"/>
          <w14:ligatures w14:val="none"/>
        </w:rPr>
        <w:t>Η</w:t>
      </w:r>
      <w:r w:rsidR="000F0BD1">
        <w:rPr>
          <w:rStyle w:val="BodyTextChar"/>
          <w:rFonts w:ascii="Bookman Old Style" w:hAnsi="Bookman Old Style"/>
          <w:kern w:val="0"/>
          <w:sz w:val="28"/>
          <w:szCs w:val="28"/>
          <w:lang w:val="el-GR" w:bidi="en-US"/>
          <w14:ligatures w14:val="none"/>
        </w:rPr>
        <w:t xml:space="preserve"> επιλογή του Δικαστηρίου να αναφερθεί, στο τέλος της ως άνω απόφασης</w:t>
      </w:r>
      <w:r w:rsidR="00CD6AF2">
        <w:rPr>
          <w:rStyle w:val="BodyTextChar"/>
          <w:rFonts w:ascii="Bookman Old Style" w:hAnsi="Bookman Old Style"/>
          <w:kern w:val="0"/>
          <w:sz w:val="28"/>
          <w:szCs w:val="28"/>
          <w:lang w:val="el-GR" w:bidi="en-US"/>
          <w14:ligatures w14:val="none"/>
        </w:rPr>
        <w:t xml:space="preserve">, στην σχετική συμφωνία, ημερομηνίας 12.12.2022, δεν έχει υποκαταστήσει τη νομική βάση επί της οποίας κρίθηκε το σχετικό </w:t>
      </w:r>
      <w:r w:rsidR="00297CDA">
        <w:rPr>
          <w:rStyle w:val="BodyTextChar"/>
          <w:rFonts w:ascii="Bookman Old Style" w:hAnsi="Bookman Old Style"/>
          <w:kern w:val="0"/>
          <w:sz w:val="28"/>
          <w:szCs w:val="28"/>
          <w:lang w:val="el-GR" w:bidi="en-US"/>
          <w14:ligatures w14:val="none"/>
        </w:rPr>
        <w:t xml:space="preserve">διάβημα, </w:t>
      </w:r>
      <w:r w:rsidR="000F0BD1">
        <w:rPr>
          <w:rStyle w:val="BodyTextChar"/>
          <w:rFonts w:ascii="Bookman Old Style" w:hAnsi="Bookman Old Style"/>
          <w:kern w:val="0"/>
          <w:sz w:val="28"/>
          <w:szCs w:val="28"/>
          <w:lang w:val="el-GR" w:bidi="en-US"/>
          <w14:ligatures w14:val="none"/>
        </w:rPr>
        <w:t xml:space="preserve">ούτε </w:t>
      </w:r>
      <w:r w:rsidR="0010656E">
        <w:rPr>
          <w:rStyle w:val="BodyTextChar"/>
          <w:rFonts w:ascii="Bookman Old Style" w:hAnsi="Bookman Old Style"/>
          <w:kern w:val="0"/>
          <w:sz w:val="28"/>
          <w:szCs w:val="28"/>
          <w:lang w:val="el-GR" w:bidi="en-US"/>
          <w14:ligatures w14:val="none"/>
        </w:rPr>
        <w:t xml:space="preserve">παρουσιάζεται να έχει </w:t>
      </w:r>
      <w:r w:rsidR="00BB489F">
        <w:rPr>
          <w:rStyle w:val="BodyTextChar"/>
          <w:rFonts w:ascii="Bookman Old Style" w:hAnsi="Bookman Old Style"/>
          <w:kern w:val="0"/>
          <w:sz w:val="28"/>
          <w:szCs w:val="28"/>
          <w:lang w:val="el-GR" w:bidi="en-US"/>
          <w14:ligatures w14:val="none"/>
        </w:rPr>
        <w:t>οποιαδήποτε επίδραση</w:t>
      </w:r>
      <w:r w:rsidR="0010656E">
        <w:rPr>
          <w:rStyle w:val="BodyTextChar"/>
          <w:rFonts w:ascii="Bookman Old Style" w:hAnsi="Bookman Old Style"/>
          <w:kern w:val="0"/>
          <w:sz w:val="28"/>
          <w:szCs w:val="28"/>
          <w:lang w:val="el-GR" w:bidi="en-US"/>
          <w14:ligatures w14:val="none"/>
        </w:rPr>
        <w:t xml:space="preserve"> </w:t>
      </w:r>
      <w:r w:rsidR="00BB489F">
        <w:rPr>
          <w:rStyle w:val="BodyTextChar"/>
          <w:rFonts w:ascii="Bookman Old Style" w:hAnsi="Bookman Old Style"/>
          <w:kern w:val="0"/>
          <w:sz w:val="28"/>
          <w:szCs w:val="28"/>
          <w:lang w:val="el-GR" w:bidi="en-US"/>
          <w14:ligatures w14:val="none"/>
        </w:rPr>
        <w:t>σ</w:t>
      </w:r>
      <w:r w:rsidR="000F0BD1">
        <w:rPr>
          <w:rStyle w:val="BodyTextChar"/>
          <w:rFonts w:ascii="Bookman Old Style" w:hAnsi="Bookman Old Style"/>
          <w:kern w:val="0"/>
          <w:sz w:val="28"/>
          <w:szCs w:val="28"/>
          <w:lang w:val="el-GR" w:bidi="en-US"/>
          <w14:ligatures w14:val="none"/>
        </w:rPr>
        <w:t>το πολυσέλιδο σκεπτικό του Δικαστηρίου</w:t>
      </w:r>
      <w:r w:rsidR="00195BDE">
        <w:rPr>
          <w:rStyle w:val="BodyTextChar"/>
          <w:rFonts w:ascii="Bookman Old Style" w:hAnsi="Bookman Old Style"/>
          <w:kern w:val="0"/>
          <w:sz w:val="28"/>
          <w:szCs w:val="28"/>
          <w:lang w:val="el-GR" w:bidi="en-US"/>
          <w14:ligatures w14:val="none"/>
        </w:rPr>
        <w:t xml:space="preserve"> και στην κατάληξη του να εγκρίνει το αίτημα για εκκαθάριση</w:t>
      </w:r>
      <w:r w:rsidR="00996A12" w:rsidRPr="00996A12">
        <w:rPr>
          <w:rStyle w:val="BodyTextChar"/>
          <w:rFonts w:ascii="Bookman Old Style" w:hAnsi="Bookman Old Style"/>
          <w:kern w:val="0"/>
          <w:sz w:val="28"/>
          <w:szCs w:val="28"/>
          <w:lang w:val="el-GR" w:bidi="en-US"/>
          <w14:ligatures w14:val="none"/>
        </w:rPr>
        <w:t xml:space="preserve"> </w:t>
      </w:r>
      <w:r w:rsidR="00996A12">
        <w:rPr>
          <w:rStyle w:val="BodyTextChar"/>
          <w:rFonts w:ascii="Bookman Old Style" w:hAnsi="Bookman Old Style"/>
          <w:kern w:val="0"/>
          <w:sz w:val="28"/>
          <w:szCs w:val="28"/>
          <w:lang w:val="el-GR" w:bidi="en-US"/>
          <w14:ligatures w14:val="none"/>
        </w:rPr>
        <w:t>στη βάση που αυτό προωθείτο.</w:t>
      </w:r>
    </w:p>
    <w:p w14:paraId="659ABCEF" w14:textId="685706B3" w:rsidR="00CD6AF2" w:rsidRDefault="00996A12" w:rsidP="00F75AB7">
      <w:pPr>
        <w:pStyle w:val="BodyText"/>
        <w:tabs>
          <w:tab w:val="left" w:pos="509"/>
        </w:tabs>
        <w:spacing w:after="0" w:line="24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kern w:val="0"/>
          <w:sz w:val="28"/>
          <w:szCs w:val="28"/>
          <w:lang w:val="el-GR" w:bidi="en-US"/>
          <w14:ligatures w14:val="none"/>
        </w:rPr>
        <w:t xml:space="preserve"> </w:t>
      </w:r>
      <w:r w:rsidR="00CD6AF2">
        <w:rPr>
          <w:rStyle w:val="BodyTextChar"/>
          <w:rFonts w:ascii="Bookman Old Style" w:hAnsi="Bookman Old Style"/>
          <w:kern w:val="0"/>
          <w:sz w:val="28"/>
          <w:szCs w:val="28"/>
          <w:lang w:val="el-GR" w:bidi="en-US"/>
          <w14:ligatures w14:val="none"/>
        </w:rPr>
        <w:t xml:space="preserve"> </w:t>
      </w:r>
    </w:p>
    <w:p w14:paraId="1DD5185A" w14:textId="77777777" w:rsidR="00146210" w:rsidRDefault="00F75AB7" w:rsidP="00146210">
      <w:pPr>
        <w:pStyle w:val="BodyText"/>
        <w:tabs>
          <w:tab w:val="left" w:pos="509"/>
        </w:tabs>
        <w:spacing w:after="0" w:line="48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sz w:val="28"/>
          <w:szCs w:val="28"/>
          <w:lang w:val="el-GR" w:bidi="en-US"/>
        </w:rPr>
        <w:tab/>
      </w:r>
      <w:r w:rsidR="00E417BD">
        <w:rPr>
          <w:rStyle w:val="BodyTextChar"/>
          <w:rFonts w:ascii="Bookman Old Style" w:hAnsi="Bookman Old Style"/>
          <w:sz w:val="28"/>
          <w:szCs w:val="28"/>
          <w:lang w:val="el-GR" w:bidi="en-US"/>
        </w:rPr>
        <w:t>Σ</w:t>
      </w:r>
      <w:r w:rsidR="0010656E">
        <w:rPr>
          <w:rStyle w:val="BodyTextChar"/>
          <w:rFonts w:ascii="Bookman Old Style" w:hAnsi="Bookman Old Style"/>
          <w:sz w:val="28"/>
          <w:szCs w:val="28"/>
          <w:lang w:val="el-GR" w:bidi="en-US"/>
        </w:rPr>
        <w:t xml:space="preserve">τη βάση όλων όσων πιο πάνω έχουν επισημανθεί για τη φύση και το εύρος της δικαιοδοσίας έκδοσης Προνομιακού Εντάλματος </w:t>
      </w:r>
      <w:r w:rsidR="00B62EA2">
        <w:rPr>
          <w:rStyle w:val="BodyTextChar"/>
          <w:rFonts w:ascii="Bookman Old Style" w:hAnsi="Bookman Old Style"/>
          <w:sz w:val="28"/>
          <w:szCs w:val="28"/>
          <w:lang w:val="el-GR" w:bidi="en-US"/>
        </w:rPr>
        <w:t xml:space="preserve">του </w:t>
      </w:r>
      <w:r w:rsidR="00297CDA">
        <w:rPr>
          <w:rStyle w:val="BodyTextChar"/>
          <w:rFonts w:ascii="Bookman Old Style" w:hAnsi="Bookman Old Style"/>
          <w:sz w:val="28"/>
          <w:szCs w:val="28"/>
          <w:lang w:val="el-GR" w:bidi="en-US"/>
        </w:rPr>
        <w:t xml:space="preserve">είδους </w:t>
      </w:r>
      <w:r w:rsidR="00B62EA2">
        <w:rPr>
          <w:rStyle w:val="BodyTextChar"/>
          <w:rFonts w:ascii="Bookman Old Style" w:hAnsi="Bookman Old Style"/>
          <w:sz w:val="28"/>
          <w:szCs w:val="28"/>
          <w:lang w:val="el-GR" w:bidi="en-US"/>
        </w:rPr>
        <w:t>που απασχολεί στην παρούσα, δεν</w:t>
      </w:r>
      <w:r w:rsidR="00493489">
        <w:rPr>
          <w:rStyle w:val="BodyTextChar"/>
          <w:rFonts w:ascii="Bookman Old Style" w:hAnsi="Bookman Old Style"/>
          <w:sz w:val="28"/>
          <w:szCs w:val="28"/>
          <w:lang w:val="el-GR" w:bidi="en-US"/>
        </w:rPr>
        <w:t xml:space="preserve"> μπορεί να αποτελέσει </w:t>
      </w:r>
      <w:r w:rsidR="009B5FCF">
        <w:rPr>
          <w:rStyle w:val="BodyTextChar"/>
          <w:rFonts w:ascii="Bookman Old Style" w:hAnsi="Bookman Old Style"/>
          <w:sz w:val="28"/>
          <w:szCs w:val="28"/>
          <w:lang w:val="el-GR" w:bidi="en-US"/>
        </w:rPr>
        <w:t xml:space="preserve">αντικείμενο </w:t>
      </w:r>
      <w:r w:rsidR="00493489">
        <w:rPr>
          <w:rStyle w:val="BodyTextChar"/>
          <w:rFonts w:ascii="Bookman Old Style" w:hAnsi="Bookman Old Style"/>
          <w:kern w:val="0"/>
          <w:sz w:val="28"/>
          <w:szCs w:val="28"/>
          <w:lang w:val="el-GR" w:bidi="en-US"/>
          <w14:ligatures w14:val="none"/>
        </w:rPr>
        <w:t xml:space="preserve">ελέγχου, μέσω εντάλματος τύπου </w:t>
      </w:r>
      <w:r w:rsidR="00493489">
        <w:rPr>
          <w:rStyle w:val="BodyTextChar"/>
          <w:rFonts w:ascii="Bookman Old Style" w:hAnsi="Bookman Old Style"/>
          <w:kern w:val="0"/>
          <w:sz w:val="28"/>
          <w:szCs w:val="28"/>
          <w:lang w:bidi="en-US"/>
          <w14:ligatures w14:val="none"/>
        </w:rPr>
        <w:t>certiorari</w:t>
      </w:r>
      <w:r w:rsidR="00493489">
        <w:rPr>
          <w:rStyle w:val="BodyTextChar"/>
          <w:rFonts w:ascii="Bookman Old Style" w:hAnsi="Bookman Old Style"/>
          <w:kern w:val="0"/>
          <w:sz w:val="28"/>
          <w:szCs w:val="28"/>
          <w:lang w:val="el-GR" w:bidi="en-US"/>
          <w14:ligatures w14:val="none"/>
        </w:rPr>
        <w:t xml:space="preserve">, </w:t>
      </w:r>
      <w:r w:rsidR="001E3403">
        <w:rPr>
          <w:rStyle w:val="BodyTextChar"/>
          <w:rFonts w:ascii="Bookman Old Style" w:hAnsi="Bookman Old Style"/>
          <w:kern w:val="0"/>
          <w:sz w:val="28"/>
          <w:szCs w:val="28"/>
          <w:lang w:val="el-GR" w:bidi="en-US"/>
          <w14:ligatures w14:val="none"/>
        </w:rPr>
        <w:t xml:space="preserve">το ζήτημα </w:t>
      </w:r>
      <w:r w:rsidR="00493489">
        <w:rPr>
          <w:rStyle w:val="BodyTextChar"/>
          <w:rFonts w:ascii="Bookman Old Style" w:hAnsi="Bookman Old Style"/>
          <w:kern w:val="0"/>
          <w:sz w:val="28"/>
          <w:szCs w:val="28"/>
          <w:lang w:val="el-GR" w:bidi="en-US"/>
          <w14:ligatures w14:val="none"/>
        </w:rPr>
        <w:t xml:space="preserve">κατά πόσο ορθά ή λανθασμένα το </w:t>
      </w:r>
      <w:r w:rsidR="00195BDE">
        <w:rPr>
          <w:rStyle w:val="BodyTextChar"/>
          <w:rFonts w:ascii="Bookman Old Style" w:hAnsi="Bookman Old Style"/>
          <w:kern w:val="0"/>
          <w:sz w:val="28"/>
          <w:szCs w:val="28"/>
          <w:lang w:val="el-GR" w:bidi="en-US"/>
          <w14:ligatures w14:val="none"/>
        </w:rPr>
        <w:t>κ</w:t>
      </w:r>
      <w:r w:rsidR="00493489">
        <w:rPr>
          <w:rStyle w:val="BodyTextChar"/>
          <w:rFonts w:ascii="Bookman Old Style" w:hAnsi="Bookman Old Style"/>
          <w:kern w:val="0"/>
          <w:sz w:val="28"/>
          <w:szCs w:val="28"/>
          <w:lang w:val="el-GR" w:bidi="en-US"/>
          <w14:ligatures w14:val="none"/>
        </w:rPr>
        <w:t xml:space="preserve">ατώτερο Δικαστήριο εξέδωσε τελικά το διάταγμα εκκαθάρισης, κρίνοντας ότι συντρέχουν οι εκ του </w:t>
      </w:r>
      <w:r w:rsidR="00996A12">
        <w:rPr>
          <w:rStyle w:val="BodyTextChar"/>
          <w:rFonts w:ascii="Bookman Old Style" w:hAnsi="Bookman Old Style"/>
          <w:kern w:val="0"/>
          <w:sz w:val="28"/>
          <w:szCs w:val="28"/>
          <w:lang w:val="el-GR" w:bidi="en-US"/>
          <w14:ligatures w14:val="none"/>
        </w:rPr>
        <w:t>ν</w:t>
      </w:r>
      <w:r w:rsidR="00493489">
        <w:rPr>
          <w:rStyle w:val="BodyTextChar"/>
          <w:rFonts w:ascii="Bookman Old Style" w:hAnsi="Bookman Old Style"/>
          <w:kern w:val="0"/>
          <w:sz w:val="28"/>
          <w:szCs w:val="28"/>
          <w:lang w:val="el-GR" w:bidi="en-US"/>
          <w14:ligatures w14:val="none"/>
        </w:rPr>
        <w:t xml:space="preserve">όμου προϋποθέσεις. </w:t>
      </w:r>
      <w:r w:rsidR="00195BDE">
        <w:rPr>
          <w:rStyle w:val="BodyTextChar"/>
          <w:rFonts w:ascii="Bookman Old Style" w:hAnsi="Bookman Old Style"/>
          <w:kern w:val="0"/>
          <w:sz w:val="28"/>
          <w:szCs w:val="28"/>
          <w:lang w:val="el-GR" w:bidi="en-US"/>
          <w14:ligatures w14:val="none"/>
        </w:rPr>
        <w:t>Ούτε</w:t>
      </w:r>
      <w:r w:rsidR="00493489">
        <w:rPr>
          <w:rStyle w:val="BodyTextChar"/>
          <w:rFonts w:ascii="Bookman Old Style" w:hAnsi="Bookman Old Style"/>
          <w:kern w:val="0"/>
          <w:sz w:val="28"/>
          <w:szCs w:val="28"/>
          <w:lang w:val="el-GR" w:bidi="en-US"/>
          <w14:ligatures w14:val="none"/>
        </w:rPr>
        <w:t xml:space="preserve"> εάν </w:t>
      </w:r>
      <w:r w:rsidR="00645A48">
        <w:rPr>
          <w:rStyle w:val="BodyTextChar"/>
          <w:rFonts w:ascii="Bookman Old Style" w:hAnsi="Bookman Old Style"/>
          <w:sz w:val="28"/>
          <w:szCs w:val="28"/>
          <w:lang w:val="el-GR" w:bidi="en-US"/>
        </w:rPr>
        <w:t>σωστά η λανθασμένα αποδέχτηκε</w:t>
      </w:r>
      <w:r w:rsidR="00C25841">
        <w:rPr>
          <w:rStyle w:val="BodyTextChar"/>
          <w:rFonts w:ascii="Bookman Old Style" w:hAnsi="Bookman Old Style"/>
          <w:sz w:val="28"/>
          <w:szCs w:val="28"/>
          <w:lang w:val="el-GR" w:bidi="en-US"/>
        </w:rPr>
        <w:t>,</w:t>
      </w:r>
      <w:r w:rsidR="00645A48">
        <w:rPr>
          <w:rStyle w:val="BodyTextChar"/>
          <w:rFonts w:ascii="Bookman Old Style" w:hAnsi="Bookman Old Style"/>
          <w:sz w:val="28"/>
          <w:szCs w:val="28"/>
          <w:lang w:val="el-GR" w:bidi="en-US"/>
        </w:rPr>
        <w:t xml:space="preserve"> </w:t>
      </w:r>
      <w:r w:rsidR="00C25841">
        <w:rPr>
          <w:rStyle w:val="BodyTextChar"/>
          <w:rFonts w:ascii="Bookman Old Style" w:hAnsi="Bookman Old Style"/>
          <w:sz w:val="28"/>
          <w:szCs w:val="28"/>
          <w:lang w:val="el-GR" w:bidi="en-US"/>
        </w:rPr>
        <w:t xml:space="preserve">πριν από την έναρξη της ακρόασης της Αίτησης 123/2019, </w:t>
      </w:r>
      <w:r w:rsidR="00645A48">
        <w:rPr>
          <w:rStyle w:val="BodyTextChar"/>
          <w:rFonts w:ascii="Bookman Old Style" w:hAnsi="Bookman Old Style"/>
          <w:sz w:val="28"/>
          <w:szCs w:val="28"/>
          <w:lang w:val="el-GR" w:bidi="en-US"/>
        </w:rPr>
        <w:t xml:space="preserve">την </w:t>
      </w:r>
      <w:r w:rsidR="00647E61">
        <w:rPr>
          <w:rStyle w:val="BodyTextChar"/>
          <w:rFonts w:ascii="Bookman Old Style" w:hAnsi="Bookman Old Style"/>
          <w:sz w:val="28"/>
          <w:szCs w:val="28"/>
          <w:lang w:val="el-GR" w:bidi="en-US"/>
        </w:rPr>
        <w:t>παρουσίαση</w:t>
      </w:r>
      <w:r w:rsidR="00645A48">
        <w:rPr>
          <w:rStyle w:val="BodyTextChar"/>
          <w:rFonts w:ascii="Bookman Old Style" w:hAnsi="Bookman Old Style"/>
          <w:sz w:val="28"/>
          <w:szCs w:val="28"/>
          <w:lang w:val="el-GR" w:bidi="en-US"/>
        </w:rPr>
        <w:t xml:space="preserve"> και </w:t>
      </w:r>
      <w:r w:rsidR="00647E61">
        <w:rPr>
          <w:rStyle w:val="BodyTextChar"/>
          <w:rFonts w:ascii="Bookman Old Style" w:hAnsi="Bookman Old Style"/>
          <w:sz w:val="28"/>
          <w:szCs w:val="28"/>
          <w:lang w:val="el-GR" w:bidi="en-US"/>
        </w:rPr>
        <w:t xml:space="preserve">τη συμπερίληψη της συμφωνίας </w:t>
      </w:r>
      <w:r w:rsidR="00493489">
        <w:rPr>
          <w:rStyle w:val="BodyTextChar"/>
          <w:rFonts w:ascii="Bookman Old Style" w:hAnsi="Bookman Old Style"/>
          <w:sz w:val="28"/>
          <w:szCs w:val="28"/>
          <w:lang w:val="el-GR" w:bidi="en-US"/>
        </w:rPr>
        <w:t xml:space="preserve">ημερομηνίας 12.12.2022 </w:t>
      </w:r>
      <w:r w:rsidR="00647E61">
        <w:rPr>
          <w:rStyle w:val="BodyTextChar"/>
          <w:rFonts w:ascii="Bookman Old Style" w:hAnsi="Bookman Old Style"/>
          <w:sz w:val="28"/>
          <w:szCs w:val="28"/>
          <w:lang w:val="el-GR" w:bidi="en-US"/>
        </w:rPr>
        <w:t xml:space="preserve">στο φάκελο της διαδικασίας ή ακόμα, εάν άσκησε ορθά ή λανθασμένα την κρίση του να καταστήσει την </w:t>
      </w:r>
      <w:r w:rsidR="00B62EA2">
        <w:rPr>
          <w:rStyle w:val="BodyTextChar"/>
          <w:rFonts w:ascii="Bookman Old Style" w:hAnsi="Bookman Old Style"/>
          <w:sz w:val="28"/>
          <w:szCs w:val="28"/>
          <w:lang w:val="el-GR" w:bidi="en-US"/>
        </w:rPr>
        <w:t xml:space="preserve">εν λόγω </w:t>
      </w:r>
      <w:r w:rsidR="00647E61">
        <w:rPr>
          <w:rStyle w:val="BodyTextChar"/>
          <w:rFonts w:ascii="Bookman Old Style" w:hAnsi="Bookman Old Style"/>
          <w:sz w:val="28"/>
          <w:szCs w:val="28"/>
          <w:lang w:val="el-GR" w:bidi="en-US"/>
        </w:rPr>
        <w:t>συμφωνία Κανόνα Δικαστηρίου</w:t>
      </w:r>
      <w:r w:rsidR="00195BDE">
        <w:rPr>
          <w:rStyle w:val="BodyTextChar"/>
          <w:rFonts w:ascii="Bookman Old Style" w:hAnsi="Bookman Old Style"/>
          <w:sz w:val="28"/>
          <w:szCs w:val="28"/>
          <w:lang w:val="el-GR" w:bidi="en-US"/>
        </w:rPr>
        <w:t xml:space="preserve">. </w:t>
      </w:r>
      <w:r w:rsidR="004120CE">
        <w:rPr>
          <w:rStyle w:val="BodyTextChar"/>
          <w:rFonts w:ascii="Bookman Old Style" w:hAnsi="Bookman Old Style"/>
          <w:sz w:val="28"/>
          <w:szCs w:val="28"/>
          <w:lang w:val="el-GR" w:bidi="en-US"/>
        </w:rPr>
        <w:t xml:space="preserve">Πρόκειται για </w:t>
      </w:r>
      <w:r w:rsidR="00053F0F">
        <w:rPr>
          <w:rStyle w:val="BodyTextChar"/>
          <w:rFonts w:ascii="Bookman Old Style" w:hAnsi="Bookman Old Style"/>
          <w:kern w:val="0"/>
          <w:sz w:val="28"/>
          <w:szCs w:val="28"/>
          <w:lang w:val="el-GR" w:bidi="en-US"/>
          <w14:ligatures w14:val="none"/>
        </w:rPr>
        <w:t xml:space="preserve">ζητήματα </w:t>
      </w:r>
      <w:r w:rsidR="004120CE">
        <w:rPr>
          <w:rStyle w:val="BodyTextChar"/>
          <w:rFonts w:ascii="Bookman Old Style" w:hAnsi="Bookman Old Style"/>
          <w:kern w:val="0"/>
          <w:sz w:val="28"/>
          <w:szCs w:val="28"/>
          <w:lang w:val="el-GR" w:bidi="en-US"/>
          <w14:ligatures w14:val="none"/>
        </w:rPr>
        <w:t xml:space="preserve">τα οποία </w:t>
      </w:r>
      <w:r w:rsidR="00053F0F">
        <w:rPr>
          <w:rStyle w:val="BodyTextChar"/>
          <w:rFonts w:ascii="Bookman Old Style" w:hAnsi="Bookman Old Style"/>
          <w:kern w:val="0"/>
          <w:sz w:val="28"/>
          <w:szCs w:val="28"/>
          <w:lang w:val="el-GR" w:bidi="en-US"/>
          <w14:ligatures w14:val="none"/>
        </w:rPr>
        <w:t>θα μπορούσαν να προβληθούν και να απασχολήσουν στο πλαίσιο ελέγχου της απόφασης, ημερομηνίας 29.</w:t>
      </w:r>
      <w:r w:rsidR="00297CDA">
        <w:rPr>
          <w:rStyle w:val="BodyTextChar"/>
          <w:rFonts w:ascii="Bookman Old Style" w:hAnsi="Bookman Old Style"/>
          <w:kern w:val="0"/>
          <w:sz w:val="28"/>
          <w:szCs w:val="28"/>
          <w:lang w:val="el-GR" w:bidi="en-US"/>
          <w14:ligatures w14:val="none"/>
        </w:rPr>
        <w:t>0</w:t>
      </w:r>
      <w:r w:rsidR="00053F0F">
        <w:rPr>
          <w:rStyle w:val="BodyTextChar"/>
          <w:rFonts w:ascii="Bookman Old Style" w:hAnsi="Bookman Old Style"/>
          <w:kern w:val="0"/>
          <w:sz w:val="28"/>
          <w:szCs w:val="28"/>
          <w:lang w:val="el-GR" w:bidi="en-US"/>
          <w14:ligatures w14:val="none"/>
        </w:rPr>
        <w:t xml:space="preserve">6.2023, μέσω έφεσης. </w:t>
      </w:r>
      <w:r w:rsidR="00B62EA2">
        <w:rPr>
          <w:rStyle w:val="BodyTextChar"/>
          <w:rFonts w:ascii="Bookman Old Style" w:hAnsi="Bookman Old Style"/>
          <w:sz w:val="28"/>
          <w:szCs w:val="28"/>
          <w:lang w:val="el-GR" w:bidi="en-US"/>
        </w:rPr>
        <w:t xml:space="preserve">Ομοίως, η ορθότητα της επιλογής </w:t>
      </w:r>
      <w:r w:rsidR="002C3058">
        <w:rPr>
          <w:rStyle w:val="BodyTextChar"/>
          <w:rFonts w:ascii="Bookman Old Style" w:hAnsi="Bookman Old Style"/>
          <w:sz w:val="28"/>
          <w:szCs w:val="28"/>
          <w:lang w:val="el-GR" w:bidi="en-US"/>
        </w:rPr>
        <w:t xml:space="preserve">του κατώτερου Δικαστηρίου </w:t>
      </w:r>
      <w:r w:rsidR="00B62EA2">
        <w:rPr>
          <w:rStyle w:val="BodyTextChar"/>
          <w:rFonts w:ascii="Bookman Old Style" w:hAnsi="Bookman Old Style"/>
          <w:sz w:val="28"/>
          <w:szCs w:val="28"/>
          <w:lang w:val="el-GR" w:bidi="en-US"/>
        </w:rPr>
        <w:t>να εγκρίνει</w:t>
      </w:r>
      <w:r w:rsidR="00651157">
        <w:rPr>
          <w:rStyle w:val="BodyTextChar"/>
          <w:rFonts w:ascii="Bookman Old Style" w:hAnsi="Bookman Old Style"/>
          <w:sz w:val="28"/>
          <w:szCs w:val="28"/>
          <w:lang w:val="el-GR" w:bidi="en-US"/>
        </w:rPr>
        <w:t xml:space="preserve"> μεν την αίτηση εκκαθάρισης</w:t>
      </w:r>
      <w:r w:rsidR="00C02D9A">
        <w:rPr>
          <w:rStyle w:val="BodyTextChar"/>
          <w:rFonts w:ascii="Bookman Old Style" w:hAnsi="Bookman Old Style"/>
          <w:sz w:val="28"/>
          <w:szCs w:val="28"/>
          <w:lang w:val="el-GR" w:bidi="en-US"/>
        </w:rPr>
        <w:t>, για τους λόγους που εξηγεί στην απόφαση του</w:t>
      </w:r>
      <w:r w:rsidR="00651157">
        <w:rPr>
          <w:rStyle w:val="BodyTextChar"/>
          <w:rFonts w:ascii="Bookman Old Style" w:hAnsi="Bookman Old Style"/>
          <w:sz w:val="28"/>
          <w:szCs w:val="28"/>
          <w:lang w:val="el-GR" w:bidi="en-US"/>
        </w:rPr>
        <w:t>,</w:t>
      </w:r>
      <w:r w:rsidR="00C02D9A">
        <w:rPr>
          <w:rStyle w:val="BodyTextChar"/>
          <w:rFonts w:ascii="Bookman Old Style" w:hAnsi="Bookman Old Style"/>
          <w:sz w:val="28"/>
          <w:szCs w:val="28"/>
          <w:lang w:val="el-GR" w:bidi="en-US"/>
        </w:rPr>
        <w:t xml:space="preserve"> </w:t>
      </w:r>
      <w:r w:rsidR="00B62EA2">
        <w:rPr>
          <w:rStyle w:val="BodyTextChar"/>
          <w:rFonts w:ascii="Bookman Old Style" w:hAnsi="Bookman Old Style"/>
          <w:sz w:val="28"/>
          <w:szCs w:val="28"/>
          <w:lang w:val="el-GR" w:bidi="en-US"/>
        </w:rPr>
        <w:t>διασυνδέοντας την</w:t>
      </w:r>
      <w:r w:rsidR="002C3058">
        <w:rPr>
          <w:rStyle w:val="BodyTextChar"/>
          <w:rFonts w:ascii="Bookman Old Style" w:hAnsi="Bookman Old Style"/>
          <w:sz w:val="28"/>
          <w:szCs w:val="28"/>
          <w:lang w:val="el-GR" w:bidi="en-US"/>
        </w:rPr>
        <w:t xml:space="preserve"> όμως</w:t>
      </w:r>
      <w:r w:rsidR="00053F0F">
        <w:rPr>
          <w:rStyle w:val="BodyTextChar"/>
          <w:rFonts w:ascii="Bookman Old Style" w:hAnsi="Bookman Old Style"/>
          <w:sz w:val="28"/>
          <w:szCs w:val="28"/>
          <w:lang w:val="el-GR" w:bidi="en-US"/>
        </w:rPr>
        <w:t>,</w:t>
      </w:r>
      <w:r w:rsidR="00B62EA2">
        <w:rPr>
          <w:rStyle w:val="BodyTextChar"/>
          <w:rFonts w:ascii="Bookman Old Style" w:hAnsi="Bookman Old Style"/>
          <w:sz w:val="28"/>
          <w:szCs w:val="28"/>
          <w:lang w:val="el-GR" w:bidi="en-US"/>
        </w:rPr>
        <w:t xml:space="preserve"> </w:t>
      </w:r>
      <w:r w:rsidR="00053F0F">
        <w:rPr>
          <w:rStyle w:val="BodyTextChar"/>
          <w:rFonts w:ascii="Bookman Old Style" w:hAnsi="Bookman Old Style"/>
          <w:sz w:val="28"/>
          <w:szCs w:val="28"/>
          <w:lang w:val="el-GR" w:bidi="en-US"/>
        </w:rPr>
        <w:t xml:space="preserve">κατά τον τρόπο που έθεσε </w:t>
      </w:r>
      <w:r w:rsidR="00C02D9A">
        <w:rPr>
          <w:rStyle w:val="BodyTextChar"/>
          <w:rFonts w:ascii="Bookman Old Style" w:hAnsi="Bookman Old Style"/>
          <w:sz w:val="28"/>
          <w:szCs w:val="28"/>
          <w:lang w:val="el-GR" w:bidi="en-US"/>
        </w:rPr>
        <w:t xml:space="preserve">τούτο </w:t>
      </w:r>
      <w:r w:rsidR="00053F0F">
        <w:rPr>
          <w:rStyle w:val="BodyTextChar"/>
          <w:rFonts w:ascii="Bookman Old Style" w:hAnsi="Bookman Old Style"/>
          <w:sz w:val="28"/>
          <w:szCs w:val="28"/>
          <w:lang w:val="el-GR" w:bidi="en-US"/>
        </w:rPr>
        <w:t xml:space="preserve">στο τέλος της απόφασης του </w:t>
      </w:r>
      <w:r w:rsidR="002C3058">
        <w:rPr>
          <w:rStyle w:val="BodyTextChar"/>
          <w:rFonts w:ascii="Bookman Old Style" w:hAnsi="Bookman Old Style"/>
          <w:sz w:val="28"/>
          <w:szCs w:val="28"/>
          <w:lang w:val="el-GR" w:bidi="en-US"/>
        </w:rPr>
        <w:t xml:space="preserve">με την ως άνω συμφωνία, </w:t>
      </w:r>
      <w:r w:rsidR="00053F0F">
        <w:rPr>
          <w:rStyle w:val="BodyTextChar"/>
          <w:rFonts w:ascii="Bookman Old Style" w:hAnsi="Bookman Old Style"/>
          <w:sz w:val="28"/>
          <w:szCs w:val="28"/>
          <w:lang w:val="el-GR" w:bidi="en-US"/>
        </w:rPr>
        <w:t xml:space="preserve">καθ’ ην έκταση επιλαμβανόμενο της σχετικής αίτησης εκκαθάρισης λειτούργησε εντός των αρμοδιοτήτων του, αποτελεί </w:t>
      </w:r>
      <w:r w:rsidR="004120CE">
        <w:rPr>
          <w:rStyle w:val="BodyTextChar"/>
          <w:rFonts w:ascii="Bookman Old Style" w:hAnsi="Bookman Old Style"/>
          <w:sz w:val="28"/>
          <w:szCs w:val="28"/>
          <w:lang w:val="el-GR" w:bidi="en-US"/>
        </w:rPr>
        <w:t xml:space="preserve">τούτο </w:t>
      </w:r>
      <w:r w:rsidR="00053F0F">
        <w:rPr>
          <w:rStyle w:val="BodyTextChar"/>
          <w:rFonts w:ascii="Bookman Old Style" w:hAnsi="Bookman Old Style"/>
          <w:sz w:val="28"/>
          <w:szCs w:val="28"/>
          <w:lang w:val="el-GR" w:bidi="en-US"/>
        </w:rPr>
        <w:t>ζήτημα που</w:t>
      </w:r>
      <w:r w:rsidR="004120CE" w:rsidRPr="004120CE">
        <w:rPr>
          <w:rStyle w:val="BodyTextChar"/>
          <w:rFonts w:ascii="Bookman Old Style" w:hAnsi="Bookman Old Style"/>
          <w:sz w:val="28"/>
          <w:szCs w:val="28"/>
          <w:lang w:val="el-GR" w:bidi="en-US"/>
        </w:rPr>
        <w:t xml:space="preserve"> </w:t>
      </w:r>
      <w:r w:rsidR="004120CE">
        <w:rPr>
          <w:rStyle w:val="BodyTextChar"/>
          <w:rFonts w:ascii="Bookman Old Style" w:hAnsi="Bookman Old Style"/>
          <w:sz w:val="28"/>
          <w:szCs w:val="28"/>
          <w:lang w:val="el-GR" w:bidi="en-US"/>
        </w:rPr>
        <w:t>επίσης</w:t>
      </w:r>
      <w:r w:rsidR="00053F0F">
        <w:rPr>
          <w:rStyle w:val="BodyTextChar"/>
          <w:rFonts w:ascii="Bookman Old Style" w:hAnsi="Bookman Old Style"/>
          <w:sz w:val="28"/>
          <w:szCs w:val="28"/>
          <w:lang w:val="el-GR" w:bidi="en-US"/>
        </w:rPr>
        <w:t xml:space="preserve"> εκφεύγει του ελέγχου στη βάση Προνομιακών Ενταλμάτων ως το αιτούμενο στην παρούσα. </w:t>
      </w:r>
      <w:r w:rsidR="00297CDA">
        <w:rPr>
          <w:rStyle w:val="BodyTextChar"/>
          <w:rFonts w:ascii="Bookman Old Style" w:hAnsi="Bookman Old Style"/>
          <w:sz w:val="28"/>
          <w:szCs w:val="28"/>
          <w:lang w:val="el-GR" w:bidi="en-US"/>
        </w:rPr>
        <w:t xml:space="preserve">Διαφορετική προσέγγιση </w:t>
      </w:r>
      <w:r w:rsidR="00053F0F">
        <w:rPr>
          <w:rStyle w:val="BodyTextChar"/>
          <w:rFonts w:ascii="Bookman Old Style" w:hAnsi="Bookman Old Style"/>
          <w:kern w:val="0"/>
          <w:sz w:val="28"/>
          <w:szCs w:val="28"/>
          <w:lang w:val="el-GR" w:bidi="en-US"/>
          <w14:ligatures w14:val="none"/>
        </w:rPr>
        <w:t>θα ισοδυναμούσε σε μετατροπή της διαδικασίας σε έφεση υπό μεταμφίεση</w:t>
      </w:r>
      <w:r w:rsidR="00946255">
        <w:rPr>
          <w:rStyle w:val="BodyTextChar"/>
          <w:rFonts w:ascii="Bookman Old Style" w:hAnsi="Bookman Old Style"/>
          <w:kern w:val="0"/>
          <w:sz w:val="28"/>
          <w:szCs w:val="28"/>
          <w:lang w:val="el-GR" w:bidi="en-US"/>
          <w14:ligatures w14:val="none"/>
        </w:rPr>
        <w:t xml:space="preserve">, παρά την καλά εδραιωμένη αρχή ότι αντικείμενο της διαδικασίας έκδοσης Προνομιακού Εντάλματος </w:t>
      </w:r>
      <w:r w:rsidR="00297CDA">
        <w:rPr>
          <w:rStyle w:val="BodyTextChar"/>
          <w:rFonts w:ascii="Bookman Old Style" w:hAnsi="Bookman Old Style"/>
          <w:kern w:val="0"/>
          <w:sz w:val="28"/>
          <w:szCs w:val="28"/>
          <w:lang w:val="el-GR" w:bidi="en-US"/>
          <w14:ligatures w14:val="none"/>
        </w:rPr>
        <w:t xml:space="preserve">του είδους που εδώ επιζητείται, </w:t>
      </w:r>
      <w:r w:rsidR="00946255">
        <w:rPr>
          <w:rStyle w:val="BodyTextChar"/>
          <w:rFonts w:ascii="Bookman Old Style" w:hAnsi="Bookman Old Style"/>
          <w:kern w:val="0"/>
          <w:sz w:val="28"/>
          <w:szCs w:val="28"/>
          <w:lang w:val="el-GR" w:bidi="en-US"/>
          <w14:ligatures w14:val="none"/>
        </w:rPr>
        <w:t xml:space="preserve">δεν είναι ο έλεγχος της ορθότητας αλλά της νομιμότητας της </w:t>
      </w:r>
      <w:r w:rsidR="004120CE">
        <w:rPr>
          <w:rStyle w:val="BodyTextChar"/>
          <w:rFonts w:ascii="Bookman Old Style" w:hAnsi="Bookman Old Style"/>
          <w:kern w:val="0"/>
          <w:sz w:val="28"/>
          <w:szCs w:val="28"/>
          <w:lang w:val="el-GR" w:bidi="en-US"/>
          <w14:ligatures w14:val="none"/>
        </w:rPr>
        <w:t>απόφασης</w:t>
      </w:r>
      <w:r w:rsidR="00053F0F">
        <w:rPr>
          <w:rStyle w:val="BodyTextChar"/>
          <w:rFonts w:ascii="Bookman Old Style" w:hAnsi="Bookman Old Style"/>
          <w:kern w:val="0"/>
          <w:sz w:val="28"/>
          <w:szCs w:val="28"/>
          <w:lang w:val="el-GR" w:bidi="en-US"/>
          <w14:ligatures w14:val="none"/>
        </w:rPr>
        <w:t>.</w:t>
      </w:r>
    </w:p>
    <w:p w14:paraId="4BF927F8" w14:textId="6955DB90" w:rsidR="00053F0F" w:rsidRDefault="00053F0F" w:rsidP="00146210">
      <w:pPr>
        <w:pStyle w:val="BodyText"/>
        <w:tabs>
          <w:tab w:val="left" w:pos="509"/>
        </w:tabs>
        <w:spacing w:after="0" w:line="24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kern w:val="0"/>
          <w:sz w:val="28"/>
          <w:szCs w:val="28"/>
          <w:lang w:val="el-GR" w:bidi="en-US"/>
          <w14:ligatures w14:val="none"/>
        </w:rPr>
        <w:t xml:space="preserve"> </w:t>
      </w:r>
    </w:p>
    <w:p w14:paraId="598A0E30" w14:textId="77777777" w:rsidR="00146210" w:rsidRDefault="00146210" w:rsidP="00146210">
      <w:pPr>
        <w:pStyle w:val="BodyText"/>
        <w:tabs>
          <w:tab w:val="left" w:pos="509"/>
        </w:tabs>
        <w:spacing w:after="0" w:line="48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kern w:val="0"/>
          <w:sz w:val="28"/>
          <w:szCs w:val="28"/>
          <w:lang w:val="el-GR" w:bidi="en-US"/>
          <w14:ligatures w14:val="none"/>
        </w:rPr>
        <w:tab/>
      </w:r>
      <w:r w:rsidR="00DC0AE4">
        <w:rPr>
          <w:rStyle w:val="BodyTextChar"/>
          <w:rFonts w:ascii="Bookman Old Style" w:hAnsi="Bookman Old Style"/>
          <w:kern w:val="0"/>
          <w:sz w:val="28"/>
          <w:szCs w:val="28"/>
          <w:lang w:val="el-GR" w:bidi="en-US"/>
          <w14:ligatures w14:val="none"/>
        </w:rPr>
        <w:t xml:space="preserve">Η πρόσκληση άλλωστε του Δικαστηρίου, </w:t>
      </w:r>
      <w:r w:rsidR="00780571">
        <w:rPr>
          <w:rStyle w:val="BodyTextChar"/>
          <w:rFonts w:ascii="Bookman Old Style" w:hAnsi="Bookman Old Style"/>
          <w:kern w:val="0"/>
          <w:sz w:val="28"/>
          <w:szCs w:val="28"/>
          <w:lang w:val="el-GR" w:bidi="en-US"/>
          <w14:ligatures w14:val="none"/>
        </w:rPr>
        <w:t xml:space="preserve">εκ μέρους </w:t>
      </w:r>
      <w:r w:rsidR="00DC0AE4">
        <w:rPr>
          <w:rStyle w:val="BodyTextChar"/>
          <w:rFonts w:ascii="Bookman Old Style" w:hAnsi="Bookman Old Style"/>
          <w:kern w:val="0"/>
          <w:sz w:val="28"/>
          <w:szCs w:val="28"/>
          <w:lang w:val="el-GR" w:bidi="en-US"/>
          <w14:ligatures w14:val="none"/>
        </w:rPr>
        <w:t xml:space="preserve">των αιτητών, όπως </w:t>
      </w:r>
      <w:r w:rsidR="00651157">
        <w:rPr>
          <w:rStyle w:val="BodyTextChar"/>
          <w:rFonts w:ascii="Bookman Old Style" w:hAnsi="Bookman Old Style"/>
          <w:kern w:val="0"/>
          <w:sz w:val="28"/>
          <w:szCs w:val="28"/>
          <w:lang w:val="el-GR" w:bidi="en-US"/>
          <w14:ligatures w14:val="none"/>
        </w:rPr>
        <w:t xml:space="preserve">προχωρήσει </w:t>
      </w:r>
      <w:r w:rsidR="00DC0AE4">
        <w:rPr>
          <w:rStyle w:val="BodyTextChar"/>
          <w:rFonts w:ascii="Bookman Old Style" w:hAnsi="Bookman Old Style"/>
          <w:kern w:val="0"/>
          <w:sz w:val="28"/>
          <w:szCs w:val="28"/>
          <w:lang w:val="el-GR" w:bidi="en-US"/>
          <w14:ligatures w14:val="none"/>
        </w:rPr>
        <w:t xml:space="preserve">στην εξέταση του ζητήματος της αντίθεσης των προνοιών της συμφωνίας ημερομηνίας 12.12.2022, τόσο στο νόμο όσο και στις «γενικότερες αρχές του δικαίου των εκκαθαρίσεων», ως ειδικότερα προβλήθηκε το ζήτημα από τους </w:t>
      </w:r>
      <w:r w:rsidR="00E417BD">
        <w:rPr>
          <w:rStyle w:val="BodyTextChar"/>
          <w:rFonts w:ascii="Bookman Old Style" w:hAnsi="Bookman Old Style"/>
          <w:kern w:val="0"/>
          <w:sz w:val="28"/>
          <w:szCs w:val="28"/>
          <w:lang w:val="el-GR" w:bidi="en-US"/>
          <w14:ligatures w14:val="none"/>
        </w:rPr>
        <w:t xml:space="preserve">τελευταίους, </w:t>
      </w:r>
      <w:r w:rsidR="001321ED">
        <w:rPr>
          <w:rStyle w:val="BodyTextChar"/>
          <w:rFonts w:ascii="Bookman Old Style" w:hAnsi="Bookman Old Style"/>
          <w:kern w:val="0"/>
          <w:sz w:val="28"/>
          <w:szCs w:val="28"/>
          <w:lang w:val="el-GR" w:bidi="en-US"/>
          <w14:ligatures w14:val="none"/>
        </w:rPr>
        <w:t xml:space="preserve">δεν </w:t>
      </w:r>
      <w:r w:rsidR="006C4705">
        <w:rPr>
          <w:rStyle w:val="BodyTextChar"/>
          <w:rFonts w:ascii="Bookman Old Style" w:hAnsi="Bookman Old Style"/>
          <w:kern w:val="0"/>
          <w:sz w:val="28"/>
          <w:szCs w:val="28"/>
          <w:lang w:val="el-GR" w:bidi="en-US"/>
          <w14:ligatures w14:val="none"/>
        </w:rPr>
        <w:t xml:space="preserve">θα μπορούσε </w:t>
      </w:r>
      <w:r w:rsidR="001175D3">
        <w:rPr>
          <w:rStyle w:val="BodyTextChar"/>
          <w:rFonts w:ascii="Bookman Old Style" w:hAnsi="Bookman Old Style"/>
          <w:kern w:val="0"/>
          <w:sz w:val="28"/>
          <w:szCs w:val="28"/>
          <w:lang w:val="el-GR" w:bidi="en-US"/>
          <w14:ligatures w14:val="none"/>
        </w:rPr>
        <w:t xml:space="preserve">επίσης </w:t>
      </w:r>
      <w:r w:rsidR="006C4705">
        <w:rPr>
          <w:rStyle w:val="BodyTextChar"/>
          <w:rFonts w:ascii="Bookman Old Style" w:hAnsi="Bookman Old Style"/>
          <w:kern w:val="0"/>
          <w:sz w:val="28"/>
          <w:szCs w:val="28"/>
          <w:lang w:val="el-GR" w:bidi="en-US"/>
          <w14:ligatures w14:val="none"/>
        </w:rPr>
        <w:t>να λειτουργήσει υποστηρικτικά για την υπό συζήτηση αίτηση</w:t>
      </w:r>
      <w:r w:rsidR="00BE7B9B">
        <w:rPr>
          <w:rStyle w:val="BodyTextChar"/>
          <w:rFonts w:ascii="Bookman Old Style" w:hAnsi="Bookman Old Style"/>
          <w:kern w:val="0"/>
          <w:sz w:val="28"/>
          <w:szCs w:val="28"/>
          <w:lang w:val="el-GR" w:bidi="en-US"/>
          <w14:ligatures w14:val="none"/>
        </w:rPr>
        <w:t xml:space="preserve">. Πέραν του γεγονότος ότι η απόφαση ημερομηνίας 29.06.2023, ως το </w:t>
      </w:r>
      <w:r w:rsidR="00E417BD">
        <w:rPr>
          <w:rStyle w:val="BodyTextChar"/>
          <w:rFonts w:ascii="Bookman Old Style" w:hAnsi="Bookman Old Style"/>
          <w:kern w:val="0"/>
          <w:sz w:val="28"/>
          <w:szCs w:val="28"/>
          <w:lang w:val="el-GR" w:bidi="en-US"/>
          <w14:ligatures w14:val="none"/>
        </w:rPr>
        <w:t xml:space="preserve">Δικαστήριο </w:t>
      </w:r>
      <w:r w:rsidR="00BE7B9B">
        <w:rPr>
          <w:rStyle w:val="BodyTextChar"/>
          <w:rFonts w:ascii="Bookman Old Style" w:hAnsi="Bookman Old Style"/>
          <w:kern w:val="0"/>
          <w:sz w:val="28"/>
          <w:szCs w:val="28"/>
          <w:lang w:val="el-GR" w:bidi="en-US"/>
          <w14:ligatures w14:val="none"/>
        </w:rPr>
        <w:t xml:space="preserve">παρουσιάζεται να δεσμεύτηκε προς τούτο κατά την εξέλιξη της </w:t>
      </w:r>
      <w:r w:rsidR="00946255">
        <w:rPr>
          <w:rStyle w:val="BodyTextChar"/>
          <w:rFonts w:ascii="Bookman Old Style" w:hAnsi="Bookman Old Style"/>
          <w:kern w:val="0"/>
          <w:sz w:val="28"/>
          <w:szCs w:val="28"/>
          <w:lang w:val="el-GR" w:bidi="en-US"/>
          <w14:ligatures w14:val="none"/>
        </w:rPr>
        <w:t xml:space="preserve">ενώπιων του </w:t>
      </w:r>
      <w:r w:rsidR="00BE7B9B">
        <w:rPr>
          <w:rStyle w:val="BodyTextChar"/>
          <w:rFonts w:ascii="Bookman Old Style" w:hAnsi="Bookman Old Style"/>
          <w:kern w:val="0"/>
          <w:sz w:val="28"/>
          <w:szCs w:val="28"/>
          <w:lang w:val="el-GR" w:bidi="en-US"/>
          <w14:ligatures w14:val="none"/>
        </w:rPr>
        <w:t xml:space="preserve">διαδικασίας, πραγματεύτηκε το ζήτημα της αιτούμενης εκκαθάρισης στη βάση των </w:t>
      </w:r>
      <w:r w:rsidR="001F3B8E">
        <w:rPr>
          <w:rStyle w:val="BodyTextChar"/>
          <w:rFonts w:ascii="Bookman Old Style" w:hAnsi="Bookman Old Style"/>
          <w:kern w:val="0"/>
          <w:sz w:val="28"/>
          <w:szCs w:val="28"/>
          <w:lang w:val="el-GR" w:bidi="en-US"/>
          <w14:ligatures w14:val="none"/>
        </w:rPr>
        <w:t>προϋποθέσεων</w:t>
      </w:r>
      <w:r w:rsidR="00BE7B9B">
        <w:rPr>
          <w:rStyle w:val="BodyTextChar"/>
          <w:rFonts w:ascii="Bookman Old Style" w:hAnsi="Bookman Old Style"/>
          <w:kern w:val="0"/>
          <w:sz w:val="28"/>
          <w:szCs w:val="28"/>
          <w:lang w:val="el-GR" w:bidi="en-US"/>
          <w14:ligatures w14:val="none"/>
        </w:rPr>
        <w:t xml:space="preserve"> της σχετικής νομοθεσίας και όχι </w:t>
      </w:r>
      <w:r w:rsidR="001F3B8E">
        <w:rPr>
          <w:rStyle w:val="BodyTextChar"/>
          <w:rFonts w:ascii="Bookman Old Style" w:hAnsi="Bookman Old Style"/>
          <w:sz w:val="28"/>
          <w:szCs w:val="28"/>
          <w:lang w:val="el-GR" w:bidi="en-US"/>
        </w:rPr>
        <w:t>στις πρόνοιες της ως άνω συμφωνίας,</w:t>
      </w:r>
      <w:r w:rsidR="00BE7B9B">
        <w:rPr>
          <w:rStyle w:val="BodyTextChar"/>
          <w:rFonts w:ascii="Bookman Old Style" w:hAnsi="Bookman Old Style"/>
          <w:kern w:val="0"/>
          <w:sz w:val="28"/>
          <w:szCs w:val="28"/>
          <w:lang w:val="el-GR" w:bidi="en-US"/>
          <w14:ligatures w14:val="none"/>
        </w:rPr>
        <w:t xml:space="preserve"> </w:t>
      </w:r>
      <w:r w:rsidR="001F3B8E">
        <w:rPr>
          <w:rStyle w:val="BodyTextChar"/>
          <w:rFonts w:ascii="Bookman Old Style" w:hAnsi="Bookman Old Style"/>
          <w:kern w:val="0"/>
          <w:sz w:val="28"/>
          <w:szCs w:val="28"/>
          <w:lang w:val="el-GR" w:bidi="en-US"/>
          <w14:ligatures w14:val="none"/>
        </w:rPr>
        <w:t xml:space="preserve">τα πιο πάνω ζητήματα, </w:t>
      </w:r>
      <w:r w:rsidR="006C4705">
        <w:rPr>
          <w:rStyle w:val="BodyTextChar"/>
          <w:rFonts w:ascii="Bookman Old Style" w:hAnsi="Bookman Old Style"/>
          <w:kern w:val="0"/>
          <w:sz w:val="28"/>
          <w:szCs w:val="28"/>
          <w:lang w:val="el-GR" w:bidi="en-US"/>
          <w14:ligatures w14:val="none"/>
        </w:rPr>
        <w:t>α</w:t>
      </w:r>
      <w:r w:rsidR="00651157">
        <w:rPr>
          <w:rStyle w:val="BodyTextChar"/>
          <w:rFonts w:ascii="Bookman Old Style" w:hAnsi="Bookman Old Style"/>
          <w:kern w:val="0"/>
          <w:sz w:val="28"/>
          <w:szCs w:val="28"/>
          <w:lang w:val="el-GR" w:bidi="en-US"/>
          <w14:ligatures w14:val="none"/>
        </w:rPr>
        <w:t xml:space="preserve">ν και εφόσον </w:t>
      </w:r>
      <w:r w:rsidR="00D061BE">
        <w:rPr>
          <w:rStyle w:val="BodyTextChar"/>
          <w:rFonts w:ascii="Bookman Old Style" w:hAnsi="Bookman Old Style"/>
          <w:kern w:val="0"/>
          <w:sz w:val="28"/>
          <w:szCs w:val="28"/>
          <w:lang w:val="el-GR" w:bidi="en-US"/>
          <w14:ligatures w14:val="none"/>
        </w:rPr>
        <w:t>τούτο κρινόταν αναγκαίο</w:t>
      </w:r>
      <w:r w:rsidR="00651157">
        <w:rPr>
          <w:rStyle w:val="BodyTextChar"/>
          <w:rFonts w:ascii="Bookman Old Style" w:hAnsi="Bookman Old Style"/>
          <w:kern w:val="0"/>
          <w:sz w:val="28"/>
          <w:szCs w:val="28"/>
          <w:lang w:val="el-GR" w:bidi="en-US"/>
          <w14:ligatures w14:val="none"/>
        </w:rPr>
        <w:t xml:space="preserve"> </w:t>
      </w:r>
      <w:r w:rsidR="00DC0AE4">
        <w:rPr>
          <w:rStyle w:val="BodyTextChar"/>
          <w:rFonts w:ascii="Bookman Old Style" w:hAnsi="Bookman Old Style"/>
          <w:kern w:val="0"/>
          <w:sz w:val="28"/>
          <w:szCs w:val="28"/>
          <w:lang w:val="el-GR" w:bidi="en-US"/>
          <w14:ligatures w14:val="none"/>
        </w:rPr>
        <w:t xml:space="preserve">για σκοπούς ελέγχου της </w:t>
      </w:r>
      <w:r w:rsidR="00D061BE">
        <w:rPr>
          <w:rStyle w:val="BodyTextChar"/>
          <w:rFonts w:ascii="Bookman Old Style" w:hAnsi="Bookman Old Style"/>
          <w:kern w:val="0"/>
          <w:sz w:val="28"/>
          <w:szCs w:val="28"/>
          <w:lang w:val="el-GR" w:bidi="en-US"/>
          <w14:ligatures w14:val="none"/>
        </w:rPr>
        <w:t xml:space="preserve">ορθότητας της </w:t>
      </w:r>
      <w:r w:rsidR="00DC0AE4">
        <w:rPr>
          <w:rStyle w:val="BodyTextChar"/>
          <w:rFonts w:ascii="Bookman Old Style" w:hAnsi="Bookman Old Style"/>
          <w:kern w:val="0"/>
          <w:sz w:val="28"/>
          <w:szCs w:val="28"/>
          <w:lang w:val="el-GR" w:bidi="en-US"/>
          <w14:ligatures w14:val="none"/>
        </w:rPr>
        <w:t>απόφασης ημερ</w:t>
      </w:r>
      <w:r w:rsidR="001321ED">
        <w:rPr>
          <w:rStyle w:val="BodyTextChar"/>
          <w:rFonts w:ascii="Bookman Old Style" w:hAnsi="Bookman Old Style"/>
          <w:kern w:val="0"/>
          <w:sz w:val="28"/>
          <w:szCs w:val="28"/>
          <w:lang w:val="el-GR" w:bidi="en-US"/>
          <w14:ligatures w14:val="none"/>
        </w:rPr>
        <w:t>ο</w:t>
      </w:r>
      <w:r w:rsidR="00DC0AE4">
        <w:rPr>
          <w:rStyle w:val="BodyTextChar"/>
          <w:rFonts w:ascii="Bookman Old Style" w:hAnsi="Bookman Old Style"/>
          <w:kern w:val="0"/>
          <w:sz w:val="28"/>
          <w:szCs w:val="28"/>
          <w:lang w:val="el-GR" w:bidi="en-US"/>
          <w14:ligatures w14:val="none"/>
        </w:rPr>
        <w:t xml:space="preserve">μηνίας 29.06.2023, </w:t>
      </w:r>
      <w:r w:rsidR="006C4705">
        <w:rPr>
          <w:rStyle w:val="BodyTextChar"/>
          <w:rFonts w:ascii="Bookman Old Style" w:hAnsi="Bookman Old Style"/>
          <w:kern w:val="0"/>
          <w:sz w:val="28"/>
          <w:szCs w:val="28"/>
          <w:lang w:val="el-GR" w:bidi="en-US"/>
          <w14:ligatures w14:val="none"/>
        </w:rPr>
        <w:t>θα</w:t>
      </w:r>
      <w:r w:rsidR="00D061BE">
        <w:rPr>
          <w:rStyle w:val="BodyTextChar"/>
          <w:rFonts w:ascii="Bookman Old Style" w:hAnsi="Bookman Old Style"/>
          <w:kern w:val="0"/>
          <w:sz w:val="28"/>
          <w:szCs w:val="28"/>
          <w:lang w:val="el-GR" w:bidi="en-US"/>
          <w14:ligatures w14:val="none"/>
        </w:rPr>
        <w:t xml:space="preserve"> μπορούσαν </w:t>
      </w:r>
      <w:r w:rsidR="00D40FAD">
        <w:rPr>
          <w:rStyle w:val="BodyTextChar"/>
          <w:rFonts w:ascii="Bookman Old Style" w:hAnsi="Bookman Old Style"/>
          <w:kern w:val="0"/>
          <w:sz w:val="28"/>
          <w:szCs w:val="28"/>
          <w:lang w:val="el-GR" w:bidi="en-US"/>
          <w14:ligatures w14:val="none"/>
        </w:rPr>
        <w:t xml:space="preserve">ανάλογα </w:t>
      </w:r>
      <w:r w:rsidR="00D061BE">
        <w:rPr>
          <w:rStyle w:val="BodyTextChar"/>
          <w:rFonts w:ascii="Bookman Old Style" w:hAnsi="Bookman Old Style"/>
          <w:kern w:val="0"/>
          <w:sz w:val="28"/>
          <w:szCs w:val="28"/>
          <w:lang w:val="el-GR" w:bidi="en-US"/>
          <w14:ligatures w14:val="none"/>
        </w:rPr>
        <w:t xml:space="preserve">να προωθηθούν και </w:t>
      </w:r>
      <w:r w:rsidR="00D40FAD">
        <w:rPr>
          <w:rStyle w:val="BodyTextChar"/>
          <w:rFonts w:ascii="Bookman Old Style" w:hAnsi="Bookman Old Style"/>
          <w:kern w:val="0"/>
          <w:sz w:val="28"/>
          <w:szCs w:val="28"/>
          <w:lang w:val="el-GR" w:bidi="en-US"/>
          <w14:ligatures w14:val="none"/>
        </w:rPr>
        <w:t xml:space="preserve">διεξοδικά </w:t>
      </w:r>
      <w:r w:rsidR="00D061BE">
        <w:rPr>
          <w:rStyle w:val="BodyTextChar"/>
          <w:rFonts w:ascii="Bookman Old Style" w:hAnsi="Bookman Old Style"/>
          <w:kern w:val="0"/>
          <w:sz w:val="28"/>
          <w:szCs w:val="28"/>
          <w:lang w:val="el-GR" w:bidi="en-US"/>
          <w14:ligatures w14:val="none"/>
        </w:rPr>
        <w:t>να απασχολήσουν</w:t>
      </w:r>
      <w:r w:rsidR="00D40FAD">
        <w:rPr>
          <w:rStyle w:val="BodyTextChar"/>
          <w:rFonts w:ascii="Bookman Old Style" w:hAnsi="Bookman Old Style"/>
          <w:kern w:val="0"/>
          <w:sz w:val="28"/>
          <w:szCs w:val="28"/>
          <w:lang w:val="el-GR" w:bidi="en-US"/>
          <w14:ligatures w14:val="none"/>
        </w:rPr>
        <w:t xml:space="preserve">, </w:t>
      </w:r>
      <w:r w:rsidR="00DC0AE4">
        <w:rPr>
          <w:rStyle w:val="BodyTextChar"/>
          <w:rFonts w:ascii="Bookman Old Style" w:hAnsi="Bookman Old Style"/>
          <w:kern w:val="0"/>
          <w:sz w:val="28"/>
          <w:szCs w:val="28"/>
          <w:lang w:val="el-GR" w:bidi="en-US"/>
          <w14:ligatures w14:val="none"/>
        </w:rPr>
        <w:t xml:space="preserve">στο </w:t>
      </w:r>
      <w:r w:rsidR="00D061BE">
        <w:rPr>
          <w:rStyle w:val="BodyTextChar"/>
          <w:rFonts w:ascii="Bookman Old Style" w:hAnsi="Bookman Old Style"/>
          <w:kern w:val="0"/>
          <w:sz w:val="28"/>
          <w:szCs w:val="28"/>
          <w:lang w:val="el-GR" w:bidi="en-US"/>
          <w14:ligatures w14:val="none"/>
        </w:rPr>
        <w:t>πλαίσιο</w:t>
      </w:r>
      <w:r w:rsidR="00DC0AE4">
        <w:rPr>
          <w:rStyle w:val="BodyTextChar"/>
          <w:rFonts w:ascii="Bookman Old Style" w:hAnsi="Bookman Old Style"/>
          <w:kern w:val="0"/>
          <w:sz w:val="28"/>
          <w:szCs w:val="28"/>
          <w:lang w:val="el-GR" w:bidi="en-US"/>
          <w14:ligatures w14:val="none"/>
        </w:rPr>
        <w:t xml:space="preserve"> έφεσης </w:t>
      </w:r>
      <w:r w:rsidR="006C4705">
        <w:rPr>
          <w:rStyle w:val="BodyTextChar"/>
          <w:rFonts w:ascii="Bookman Old Style" w:hAnsi="Bookman Old Style"/>
          <w:kern w:val="0"/>
          <w:sz w:val="28"/>
          <w:szCs w:val="28"/>
          <w:lang w:val="el-GR" w:bidi="en-US"/>
          <w14:ligatures w14:val="none"/>
        </w:rPr>
        <w:t>κατά της εν λόγω απόφασης, διάβημα που ως</w:t>
      </w:r>
      <w:r w:rsidR="008470A2">
        <w:rPr>
          <w:rStyle w:val="BodyTextChar"/>
          <w:rFonts w:ascii="Bookman Old Style" w:hAnsi="Bookman Old Style"/>
          <w:kern w:val="0"/>
          <w:sz w:val="28"/>
          <w:szCs w:val="28"/>
          <w:lang w:val="el-GR" w:bidi="en-US"/>
          <w14:ligatures w14:val="none"/>
        </w:rPr>
        <w:t xml:space="preserve"> </w:t>
      </w:r>
      <w:r w:rsidR="006C4705">
        <w:rPr>
          <w:rStyle w:val="BodyTextChar"/>
          <w:rFonts w:ascii="Bookman Old Style" w:hAnsi="Bookman Old Style"/>
          <w:kern w:val="0"/>
          <w:sz w:val="28"/>
          <w:szCs w:val="28"/>
          <w:lang w:val="el-GR" w:bidi="en-US"/>
          <w14:ligatures w14:val="none"/>
        </w:rPr>
        <w:t xml:space="preserve">έχει ήδη </w:t>
      </w:r>
      <w:r w:rsidR="00D40FAD">
        <w:rPr>
          <w:rStyle w:val="BodyTextChar"/>
          <w:rFonts w:ascii="Bookman Old Style" w:hAnsi="Bookman Old Style"/>
          <w:kern w:val="0"/>
          <w:sz w:val="28"/>
          <w:szCs w:val="28"/>
          <w:lang w:val="el-GR" w:bidi="en-US"/>
          <w14:ligatures w14:val="none"/>
        </w:rPr>
        <w:t>γνωστοποιηθεί σ</w:t>
      </w:r>
      <w:r w:rsidR="008470A2">
        <w:rPr>
          <w:rStyle w:val="BodyTextChar"/>
          <w:rFonts w:ascii="Bookman Old Style" w:hAnsi="Bookman Old Style"/>
          <w:kern w:val="0"/>
          <w:sz w:val="28"/>
          <w:szCs w:val="28"/>
          <w:lang w:val="el-GR" w:bidi="en-US"/>
          <w14:ligatures w14:val="none"/>
        </w:rPr>
        <w:t xml:space="preserve">το Δικαστήριο, </w:t>
      </w:r>
      <w:r w:rsidR="00D061BE">
        <w:rPr>
          <w:rStyle w:val="BodyTextChar"/>
          <w:rFonts w:ascii="Bookman Old Style" w:hAnsi="Bookman Old Style"/>
          <w:kern w:val="0"/>
          <w:sz w:val="28"/>
          <w:szCs w:val="28"/>
          <w:lang w:val="el-GR" w:bidi="en-US"/>
          <w14:ligatures w14:val="none"/>
        </w:rPr>
        <w:t>οι αιτητές προτίθενται να καταχωρήσουν.</w:t>
      </w:r>
    </w:p>
    <w:p w14:paraId="4C8889BD" w14:textId="77D5A0E3" w:rsidR="00DC0AE4" w:rsidRDefault="00D061BE" w:rsidP="00146210">
      <w:pPr>
        <w:pStyle w:val="BodyText"/>
        <w:tabs>
          <w:tab w:val="left" w:pos="509"/>
        </w:tabs>
        <w:spacing w:after="0" w:line="240" w:lineRule="auto"/>
        <w:jc w:val="both"/>
        <w:rPr>
          <w:rStyle w:val="BodyTextChar"/>
          <w:rFonts w:ascii="Bookman Old Style" w:hAnsi="Bookman Old Style"/>
          <w:kern w:val="0"/>
          <w:sz w:val="28"/>
          <w:szCs w:val="28"/>
          <w:lang w:val="el-GR" w:bidi="en-US"/>
          <w14:ligatures w14:val="none"/>
        </w:rPr>
      </w:pPr>
      <w:r>
        <w:rPr>
          <w:rStyle w:val="BodyTextChar"/>
          <w:rFonts w:ascii="Bookman Old Style" w:hAnsi="Bookman Old Style"/>
          <w:kern w:val="0"/>
          <w:sz w:val="28"/>
          <w:szCs w:val="28"/>
          <w:lang w:val="el-GR" w:bidi="en-US"/>
          <w14:ligatures w14:val="none"/>
        </w:rPr>
        <w:t xml:space="preserve"> </w:t>
      </w:r>
      <w:r w:rsidR="00DC0AE4">
        <w:rPr>
          <w:rStyle w:val="BodyTextChar"/>
          <w:rFonts w:ascii="Bookman Old Style" w:hAnsi="Bookman Old Style"/>
          <w:kern w:val="0"/>
          <w:sz w:val="28"/>
          <w:szCs w:val="28"/>
          <w:lang w:val="el-GR" w:bidi="en-US"/>
          <w14:ligatures w14:val="none"/>
        </w:rPr>
        <w:t xml:space="preserve"> </w:t>
      </w:r>
    </w:p>
    <w:p w14:paraId="1AD7567B" w14:textId="6592801A" w:rsidR="001F6F88" w:rsidRPr="008470A2" w:rsidRDefault="00146210" w:rsidP="001B38FF">
      <w:pPr>
        <w:pStyle w:val="BodyText"/>
        <w:tabs>
          <w:tab w:val="left" w:pos="509"/>
        </w:tabs>
        <w:spacing w:after="540" w:line="480" w:lineRule="auto"/>
        <w:jc w:val="both"/>
        <w:rPr>
          <w:rStyle w:val="BodyTextChar"/>
          <w:rFonts w:ascii="Bookman Old Style" w:hAnsi="Bookman Old Style"/>
          <w:kern w:val="0"/>
          <w:sz w:val="28"/>
          <w:szCs w:val="28"/>
          <w:u w:val="single"/>
          <w:lang w:val="el-GR" w:bidi="en-US"/>
          <w14:ligatures w14:val="none"/>
        </w:rPr>
      </w:pPr>
      <w:r>
        <w:rPr>
          <w:rFonts w:ascii="Bookman Old Style" w:eastAsia="Times New Roman" w:hAnsi="Bookman Old Style" w:cs="Times New Roman"/>
          <w:color w:val="000000"/>
          <w:kern w:val="0"/>
          <w:sz w:val="28"/>
          <w:szCs w:val="28"/>
          <w:lang w:val="el-GR"/>
          <w14:ligatures w14:val="none"/>
        </w:rPr>
        <w:tab/>
      </w:r>
      <w:r w:rsidR="007B3C79">
        <w:rPr>
          <w:rFonts w:ascii="Bookman Old Style" w:eastAsia="Times New Roman" w:hAnsi="Bookman Old Style" w:cs="Times New Roman"/>
          <w:color w:val="000000"/>
          <w:kern w:val="0"/>
          <w:sz w:val="28"/>
          <w:szCs w:val="28"/>
          <w:lang w:val="el-GR"/>
          <w14:ligatures w14:val="none"/>
        </w:rPr>
        <w:t xml:space="preserve">Ούτε η προσπάθεια διασύνδεσης της απόφασης </w:t>
      </w:r>
      <w:r w:rsidR="007B3C79">
        <w:rPr>
          <w:rStyle w:val="BodyTextChar"/>
          <w:rFonts w:ascii="Bookman Old Style" w:hAnsi="Bookman Old Style"/>
          <w:kern w:val="0"/>
          <w:sz w:val="28"/>
          <w:szCs w:val="28"/>
          <w:lang w:val="el-GR" w:bidi="en-US"/>
          <w14:ligatures w14:val="none"/>
        </w:rPr>
        <w:t xml:space="preserve">που εκδόθηκε στο πλαίσιο της Αίτησης αρ. 123/2019 με το Διάταγμα </w:t>
      </w:r>
      <w:r w:rsidR="00825617">
        <w:rPr>
          <w:rStyle w:val="BodyTextChar"/>
          <w:rFonts w:ascii="Bookman Old Style" w:hAnsi="Bookman Old Style"/>
          <w:kern w:val="0"/>
          <w:sz w:val="28"/>
          <w:szCs w:val="28"/>
          <w:lang w:val="el-GR" w:bidi="en-US"/>
          <w14:ligatures w14:val="none"/>
        </w:rPr>
        <w:t>που εκδόθηκε στο πλαίσιο της Αίτησης αρ. 373/2017</w:t>
      </w:r>
      <w:r w:rsidR="007A3930">
        <w:rPr>
          <w:rStyle w:val="BodyTextChar"/>
          <w:rFonts w:ascii="Bookman Old Style" w:hAnsi="Bookman Old Style"/>
          <w:kern w:val="0"/>
          <w:sz w:val="28"/>
          <w:szCs w:val="28"/>
          <w:lang w:val="el-GR" w:bidi="en-US"/>
          <w14:ligatures w14:val="none"/>
        </w:rPr>
        <w:t>,</w:t>
      </w:r>
      <w:r w:rsidR="00780571" w:rsidRPr="00780571">
        <w:rPr>
          <w:rStyle w:val="BodyTextChar"/>
          <w:rFonts w:ascii="Bookman Old Style" w:hAnsi="Bookman Old Style"/>
          <w:kern w:val="0"/>
          <w:sz w:val="28"/>
          <w:szCs w:val="28"/>
          <w:lang w:val="el-GR" w:bidi="en-US"/>
          <w14:ligatures w14:val="none"/>
        </w:rPr>
        <w:t xml:space="preserve"> </w:t>
      </w:r>
      <w:r w:rsidR="00780571">
        <w:rPr>
          <w:rStyle w:val="BodyTextChar"/>
          <w:rFonts w:ascii="Bookman Old Style" w:hAnsi="Bookman Old Style"/>
          <w:kern w:val="0"/>
          <w:sz w:val="28"/>
          <w:szCs w:val="28"/>
          <w:lang w:val="el-GR" w:bidi="en-US"/>
          <w14:ligatures w14:val="none"/>
        </w:rPr>
        <w:t xml:space="preserve">ημερομηνίας </w:t>
      </w:r>
      <w:r w:rsidR="00F362D8" w:rsidRPr="00F362D8">
        <w:rPr>
          <w:rStyle w:val="BodyTextChar"/>
          <w:rFonts w:ascii="Bookman Old Style" w:hAnsi="Bookman Old Style"/>
          <w:kern w:val="0"/>
          <w:sz w:val="28"/>
          <w:szCs w:val="28"/>
          <w:lang w:val="el-GR" w:bidi="en-US"/>
          <w14:ligatures w14:val="none"/>
        </w:rPr>
        <w:t>29.06.2023</w:t>
      </w:r>
      <w:r w:rsidR="00780571">
        <w:rPr>
          <w:rStyle w:val="BodyTextChar"/>
          <w:rFonts w:ascii="Bookman Old Style" w:hAnsi="Bookman Old Style"/>
          <w:kern w:val="0"/>
          <w:sz w:val="28"/>
          <w:szCs w:val="28"/>
          <w:lang w:val="el-GR" w:bidi="en-US"/>
          <w14:ligatures w14:val="none"/>
        </w:rPr>
        <w:t>, κατά τον τρόπο που προκρίθηκε τούτο</w:t>
      </w:r>
      <w:r w:rsidR="00E5699E">
        <w:rPr>
          <w:rStyle w:val="BodyTextChar"/>
          <w:rFonts w:ascii="Bookman Old Style" w:hAnsi="Bookman Old Style"/>
          <w:kern w:val="0"/>
          <w:sz w:val="28"/>
          <w:szCs w:val="28"/>
          <w:lang w:val="el-GR" w:bidi="en-US"/>
          <w14:ligatures w14:val="none"/>
        </w:rPr>
        <w:t xml:space="preserve"> από την πλευρά των αιτητών,</w:t>
      </w:r>
      <w:r w:rsidR="00780571">
        <w:rPr>
          <w:rStyle w:val="BodyTextChar"/>
          <w:rFonts w:ascii="Bookman Old Style" w:hAnsi="Bookman Old Style"/>
          <w:kern w:val="0"/>
          <w:sz w:val="28"/>
          <w:szCs w:val="28"/>
          <w:lang w:val="el-GR" w:bidi="en-US"/>
          <w14:ligatures w14:val="none"/>
        </w:rPr>
        <w:t xml:space="preserve"> </w:t>
      </w:r>
      <w:r w:rsidR="00825617">
        <w:rPr>
          <w:rStyle w:val="BodyTextChar"/>
          <w:rFonts w:ascii="Bookman Old Style" w:hAnsi="Bookman Old Style"/>
          <w:kern w:val="0"/>
          <w:sz w:val="28"/>
          <w:szCs w:val="28"/>
          <w:lang w:val="el-GR" w:bidi="en-US"/>
          <w14:ligatures w14:val="none"/>
        </w:rPr>
        <w:t xml:space="preserve">φαίνεται να δικαιολογεί την αιτούμενη παρέμβαση του Δικαστηρίου. </w:t>
      </w:r>
      <w:r w:rsidR="00091F02">
        <w:rPr>
          <w:rStyle w:val="BodyTextChar"/>
          <w:rFonts w:ascii="Bookman Old Style" w:hAnsi="Bookman Old Style"/>
          <w:kern w:val="0"/>
          <w:sz w:val="28"/>
          <w:szCs w:val="28"/>
          <w:lang w:val="el-GR" w:bidi="en-US"/>
          <w14:ligatures w14:val="none"/>
        </w:rPr>
        <w:t xml:space="preserve">Πέραν από την πιο πάνω επισήμανση ότι </w:t>
      </w:r>
      <w:r w:rsidR="00780571">
        <w:rPr>
          <w:rStyle w:val="BodyTextChar"/>
          <w:rFonts w:ascii="Bookman Old Style" w:hAnsi="Bookman Old Style"/>
          <w:kern w:val="0"/>
          <w:sz w:val="28"/>
          <w:szCs w:val="28"/>
          <w:lang w:val="el-GR" w:bidi="en-US"/>
          <w14:ligatures w14:val="none"/>
        </w:rPr>
        <w:t>η ορθότητα η μη της επιλογής</w:t>
      </w:r>
      <w:r w:rsidR="0093286B">
        <w:rPr>
          <w:rStyle w:val="BodyTextChar"/>
          <w:rFonts w:ascii="Bookman Old Style" w:hAnsi="Bookman Old Style"/>
          <w:kern w:val="0"/>
          <w:sz w:val="28"/>
          <w:szCs w:val="28"/>
          <w:lang w:val="el-GR" w:bidi="en-US"/>
          <w14:ligatures w14:val="none"/>
        </w:rPr>
        <w:t xml:space="preserve"> και κρίσης </w:t>
      </w:r>
      <w:r w:rsidR="00780571">
        <w:rPr>
          <w:rStyle w:val="BodyTextChar"/>
          <w:rFonts w:ascii="Bookman Old Style" w:hAnsi="Bookman Old Style"/>
          <w:kern w:val="0"/>
          <w:sz w:val="28"/>
          <w:szCs w:val="28"/>
          <w:lang w:val="el-GR" w:bidi="en-US"/>
          <w14:ligatures w14:val="none"/>
        </w:rPr>
        <w:t>τ</w:t>
      </w:r>
      <w:r w:rsidR="0093286B">
        <w:rPr>
          <w:rStyle w:val="BodyTextChar"/>
          <w:rFonts w:ascii="Bookman Old Style" w:hAnsi="Bookman Old Style"/>
          <w:kern w:val="0"/>
          <w:sz w:val="28"/>
          <w:szCs w:val="28"/>
          <w:lang w:val="el-GR" w:bidi="en-US"/>
          <w14:ligatures w14:val="none"/>
        </w:rPr>
        <w:t>ο</w:t>
      </w:r>
      <w:r w:rsidR="00780571">
        <w:rPr>
          <w:rStyle w:val="BodyTextChar"/>
          <w:rFonts w:ascii="Bookman Old Style" w:hAnsi="Bookman Old Style"/>
          <w:kern w:val="0"/>
          <w:sz w:val="28"/>
          <w:szCs w:val="28"/>
          <w:lang w:val="el-GR" w:bidi="en-US"/>
          <w14:ligatures w14:val="none"/>
        </w:rPr>
        <w:t xml:space="preserve">υ Δικαστηρίου να </w:t>
      </w:r>
      <w:r w:rsidR="0093286B">
        <w:rPr>
          <w:rStyle w:val="BodyTextChar"/>
          <w:rFonts w:ascii="Bookman Old Style" w:hAnsi="Bookman Old Style"/>
          <w:kern w:val="0"/>
          <w:sz w:val="28"/>
          <w:szCs w:val="28"/>
          <w:lang w:val="el-GR" w:bidi="en-US"/>
          <w14:ligatures w14:val="none"/>
        </w:rPr>
        <w:t>παραπέμψει</w:t>
      </w:r>
      <w:r w:rsidR="004175D7" w:rsidRPr="004175D7">
        <w:rPr>
          <w:rStyle w:val="BodyTextChar"/>
          <w:rFonts w:ascii="Bookman Old Style" w:hAnsi="Bookman Old Style"/>
          <w:kern w:val="0"/>
          <w:sz w:val="28"/>
          <w:szCs w:val="28"/>
          <w:lang w:val="el-GR" w:bidi="en-US"/>
          <w14:ligatures w14:val="none"/>
        </w:rPr>
        <w:t xml:space="preserve"> </w:t>
      </w:r>
      <w:r w:rsidR="004175D7">
        <w:rPr>
          <w:rStyle w:val="BodyTextChar"/>
          <w:rFonts w:ascii="Bookman Old Style" w:hAnsi="Bookman Old Style"/>
          <w:kern w:val="0"/>
          <w:sz w:val="28"/>
          <w:szCs w:val="28"/>
          <w:lang w:val="el-GR" w:bidi="en-US"/>
          <w14:ligatures w14:val="none"/>
        </w:rPr>
        <w:t>στις πρόνοιες της συγκεκριμένης συμφωνίας,</w:t>
      </w:r>
      <w:r w:rsidR="0093286B">
        <w:rPr>
          <w:rStyle w:val="BodyTextChar"/>
          <w:rFonts w:ascii="Bookman Old Style" w:hAnsi="Bookman Old Style"/>
          <w:kern w:val="0"/>
          <w:sz w:val="28"/>
          <w:szCs w:val="28"/>
          <w:lang w:val="el-GR" w:bidi="en-US"/>
          <w14:ligatures w14:val="none"/>
        </w:rPr>
        <w:t xml:space="preserve"> κατά τον τρόπο που έπραξε τούτο, </w:t>
      </w:r>
      <w:r w:rsidR="00E55D82">
        <w:rPr>
          <w:rStyle w:val="BodyTextChar"/>
          <w:rFonts w:ascii="Bookman Old Style" w:hAnsi="Bookman Old Style"/>
          <w:kern w:val="0"/>
          <w:sz w:val="28"/>
          <w:szCs w:val="28"/>
          <w:lang w:val="el-GR" w:bidi="en-US"/>
          <w14:ligatures w14:val="none"/>
        </w:rPr>
        <w:t xml:space="preserve">καθ’ ον χρόνο </w:t>
      </w:r>
      <w:r w:rsidR="00E5699E">
        <w:rPr>
          <w:rStyle w:val="BodyTextChar"/>
          <w:rFonts w:ascii="Bookman Old Style" w:hAnsi="Bookman Old Style"/>
          <w:kern w:val="0"/>
          <w:sz w:val="28"/>
          <w:szCs w:val="28"/>
          <w:lang w:val="el-GR" w:bidi="en-US"/>
          <w14:ligatures w14:val="none"/>
        </w:rPr>
        <w:t xml:space="preserve">πραγματεύτηκε και </w:t>
      </w:r>
      <w:r w:rsidR="00E55D82">
        <w:rPr>
          <w:rStyle w:val="BodyTextChar"/>
          <w:rFonts w:ascii="Bookman Old Style" w:hAnsi="Bookman Old Style"/>
          <w:kern w:val="0"/>
          <w:sz w:val="28"/>
          <w:szCs w:val="28"/>
          <w:lang w:val="el-GR" w:bidi="en-US"/>
          <w14:ligatures w14:val="none"/>
        </w:rPr>
        <w:t xml:space="preserve">αποδέχθηκε το </w:t>
      </w:r>
      <w:r w:rsidR="00496191">
        <w:rPr>
          <w:rStyle w:val="BodyTextChar"/>
          <w:rFonts w:ascii="Bookman Old Style" w:hAnsi="Bookman Old Style"/>
          <w:kern w:val="0"/>
          <w:sz w:val="28"/>
          <w:szCs w:val="28"/>
          <w:lang w:val="el-GR" w:bidi="en-US"/>
          <w14:ligatures w14:val="none"/>
        </w:rPr>
        <w:t xml:space="preserve">ενώπιων του </w:t>
      </w:r>
      <w:r w:rsidR="00E55D82">
        <w:rPr>
          <w:rStyle w:val="BodyTextChar"/>
          <w:rFonts w:ascii="Bookman Old Style" w:hAnsi="Bookman Old Style"/>
          <w:kern w:val="0"/>
          <w:sz w:val="28"/>
          <w:szCs w:val="28"/>
          <w:lang w:val="el-GR" w:bidi="en-US"/>
          <w14:ligatures w14:val="none"/>
        </w:rPr>
        <w:t xml:space="preserve">αίτημα για </w:t>
      </w:r>
      <w:r w:rsidR="0093286B">
        <w:rPr>
          <w:rStyle w:val="BodyTextChar"/>
          <w:rFonts w:ascii="Bookman Old Style" w:hAnsi="Bookman Old Style"/>
          <w:kern w:val="0"/>
          <w:sz w:val="28"/>
          <w:szCs w:val="28"/>
          <w:lang w:val="el-GR" w:bidi="en-US"/>
          <w14:ligatures w14:val="none"/>
        </w:rPr>
        <w:t xml:space="preserve">εκκαθάριση, αποτελεί ζήτημα που θα μπορούσε να εξεταστεί στο </w:t>
      </w:r>
      <w:r w:rsidR="00E55D82">
        <w:rPr>
          <w:rStyle w:val="BodyTextChar"/>
          <w:rFonts w:ascii="Bookman Old Style" w:hAnsi="Bookman Old Style"/>
          <w:kern w:val="0"/>
          <w:sz w:val="28"/>
          <w:szCs w:val="28"/>
          <w:lang w:val="el-GR" w:bidi="en-US"/>
          <w14:ligatures w14:val="none"/>
        </w:rPr>
        <w:t>πλαίσιο</w:t>
      </w:r>
      <w:r w:rsidR="0093286B">
        <w:rPr>
          <w:rStyle w:val="BodyTextChar"/>
          <w:rFonts w:ascii="Bookman Old Style" w:hAnsi="Bookman Old Style"/>
          <w:kern w:val="0"/>
          <w:sz w:val="28"/>
          <w:szCs w:val="28"/>
          <w:lang w:val="el-GR" w:bidi="en-US"/>
          <w14:ligatures w14:val="none"/>
        </w:rPr>
        <w:t xml:space="preserve"> </w:t>
      </w:r>
      <w:r w:rsidR="00BF4943">
        <w:rPr>
          <w:rStyle w:val="BodyTextChar"/>
          <w:rFonts w:ascii="Bookman Old Style" w:hAnsi="Bookman Old Style"/>
          <w:kern w:val="0"/>
          <w:sz w:val="28"/>
          <w:szCs w:val="28"/>
          <w:lang w:val="el-GR" w:bidi="en-US"/>
          <w14:ligatures w14:val="none"/>
        </w:rPr>
        <w:t xml:space="preserve">ενός ενδεχόμενου δευτεροβάθμιου δικαστικού ελέγχου της </w:t>
      </w:r>
      <w:r w:rsidR="00BA1479">
        <w:rPr>
          <w:rStyle w:val="BodyTextChar"/>
          <w:rFonts w:ascii="Bookman Old Style" w:hAnsi="Bookman Old Style"/>
          <w:kern w:val="0"/>
          <w:sz w:val="28"/>
          <w:szCs w:val="28"/>
          <w:lang w:val="el-GR" w:bidi="en-US"/>
          <w14:ligatures w14:val="none"/>
        </w:rPr>
        <w:t>υπό</w:t>
      </w:r>
      <w:r w:rsidR="00BF4943">
        <w:rPr>
          <w:rStyle w:val="BodyTextChar"/>
          <w:rFonts w:ascii="Bookman Old Style" w:hAnsi="Bookman Old Style"/>
          <w:kern w:val="0"/>
          <w:sz w:val="28"/>
          <w:szCs w:val="28"/>
          <w:lang w:val="el-GR" w:bidi="en-US"/>
          <w14:ligatures w14:val="none"/>
        </w:rPr>
        <w:t xml:space="preserve"> συζήτηση </w:t>
      </w:r>
      <w:r w:rsidR="00BA1479">
        <w:rPr>
          <w:rStyle w:val="BodyTextChar"/>
          <w:rFonts w:ascii="Bookman Old Style" w:hAnsi="Bookman Old Style"/>
          <w:kern w:val="0"/>
          <w:sz w:val="28"/>
          <w:szCs w:val="28"/>
          <w:lang w:val="el-GR" w:bidi="en-US"/>
          <w14:ligatures w14:val="none"/>
        </w:rPr>
        <w:t>απόφασης,</w:t>
      </w:r>
      <w:r w:rsidR="00BF4943">
        <w:rPr>
          <w:rStyle w:val="BodyTextChar"/>
          <w:rFonts w:ascii="Bookman Old Style" w:hAnsi="Bookman Old Style"/>
          <w:kern w:val="0"/>
          <w:sz w:val="28"/>
          <w:szCs w:val="28"/>
          <w:lang w:val="el-GR" w:bidi="en-US"/>
          <w14:ligatures w14:val="none"/>
        </w:rPr>
        <w:t xml:space="preserve"> </w:t>
      </w:r>
      <w:r w:rsidR="00BA1479">
        <w:rPr>
          <w:rStyle w:val="BodyTextChar"/>
          <w:rFonts w:ascii="Bookman Old Style" w:hAnsi="Bookman Old Style"/>
          <w:kern w:val="0"/>
          <w:sz w:val="28"/>
          <w:szCs w:val="28"/>
          <w:lang w:val="el-GR" w:bidi="en-US"/>
          <w14:ligatures w14:val="none"/>
        </w:rPr>
        <w:t>ημερομηνίας</w:t>
      </w:r>
      <w:r w:rsidR="00BF4943">
        <w:rPr>
          <w:rStyle w:val="BodyTextChar"/>
          <w:rFonts w:ascii="Bookman Old Style" w:hAnsi="Bookman Old Style"/>
          <w:kern w:val="0"/>
          <w:sz w:val="28"/>
          <w:szCs w:val="28"/>
          <w:lang w:val="el-GR" w:bidi="en-US"/>
          <w14:ligatures w14:val="none"/>
        </w:rPr>
        <w:t xml:space="preserve"> 2</w:t>
      </w:r>
      <w:r w:rsidR="00BA1479">
        <w:rPr>
          <w:rStyle w:val="BodyTextChar"/>
          <w:rFonts w:ascii="Bookman Old Style" w:hAnsi="Bookman Old Style"/>
          <w:kern w:val="0"/>
          <w:sz w:val="28"/>
          <w:szCs w:val="28"/>
          <w:lang w:val="el-GR" w:bidi="en-US"/>
          <w14:ligatures w14:val="none"/>
        </w:rPr>
        <w:t>9.06.2023</w:t>
      </w:r>
      <w:r w:rsidR="00091F02">
        <w:rPr>
          <w:rStyle w:val="BodyTextChar"/>
          <w:rFonts w:ascii="Bookman Old Style" w:hAnsi="Bookman Old Style"/>
          <w:kern w:val="0"/>
          <w:sz w:val="28"/>
          <w:szCs w:val="28"/>
          <w:lang w:val="el-GR" w:bidi="en-US"/>
          <w14:ligatures w14:val="none"/>
        </w:rPr>
        <w:t xml:space="preserve">, </w:t>
      </w:r>
      <w:r w:rsidR="00BA1479">
        <w:rPr>
          <w:rStyle w:val="BodyTextChar"/>
          <w:rFonts w:ascii="Bookman Old Style" w:hAnsi="Bookman Old Style"/>
          <w:kern w:val="0"/>
          <w:sz w:val="28"/>
          <w:szCs w:val="28"/>
          <w:lang w:val="el-GR" w:bidi="en-US"/>
          <w14:ligatures w14:val="none"/>
        </w:rPr>
        <w:t xml:space="preserve"> </w:t>
      </w:r>
      <w:r w:rsidR="00825617">
        <w:rPr>
          <w:rStyle w:val="BodyTextChar"/>
          <w:rFonts w:ascii="Bookman Old Style" w:hAnsi="Bookman Old Style"/>
          <w:kern w:val="0"/>
          <w:sz w:val="28"/>
          <w:szCs w:val="28"/>
          <w:lang w:val="el-GR" w:bidi="en-US"/>
          <w14:ligatures w14:val="none"/>
        </w:rPr>
        <w:t xml:space="preserve">ζητήματα που δυνατόν να </w:t>
      </w:r>
      <w:r w:rsidR="007A3930">
        <w:rPr>
          <w:rStyle w:val="BodyTextChar"/>
          <w:rFonts w:ascii="Bookman Old Style" w:hAnsi="Bookman Old Style"/>
          <w:kern w:val="0"/>
          <w:sz w:val="28"/>
          <w:szCs w:val="28"/>
          <w:lang w:val="el-GR" w:bidi="en-US"/>
          <w14:ligatures w14:val="none"/>
        </w:rPr>
        <w:t>προκύπτουν</w:t>
      </w:r>
      <w:r w:rsidR="00825617">
        <w:rPr>
          <w:rStyle w:val="BodyTextChar"/>
          <w:rFonts w:ascii="Bookman Old Style" w:hAnsi="Bookman Old Style"/>
          <w:kern w:val="0"/>
          <w:sz w:val="28"/>
          <w:szCs w:val="28"/>
          <w:lang w:val="el-GR" w:bidi="en-US"/>
          <w14:ligatures w14:val="none"/>
        </w:rPr>
        <w:t xml:space="preserve"> </w:t>
      </w:r>
      <w:r w:rsidR="007A3930">
        <w:rPr>
          <w:rStyle w:val="BodyTextChar"/>
          <w:rFonts w:ascii="Bookman Old Style" w:hAnsi="Bookman Old Style"/>
          <w:kern w:val="0"/>
          <w:sz w:val="28"/>
          <w:szCs w:val="28"/>
          <w:lang w:val="el-GR" w:bidi="en-US"/>
          <w14:ligatures w14:val="none"/>
        </w:rPr>
        <w:t xml:space="preserve">ή να </w:t>
      </w:r>
      <w:r w:rsidR="00825617">
        <w:rPr>
          <w:rStyle w:val="BodyTextChar"/>
          <w:rFonts w:ascii="Bookman Old Style" w:hAnsi="Bookman Old Style"/>
          <w:kern w:val="0"/>
          <w:sz w:val="28"/>
          <w:szCs w:val="28"/>
          <w:lang w:val="el-GR" w:bidi="en-US"/>
          <w14:ligatures w14:val="none"/>
        </w:rPr>
        <w:t xml:space="preserve">αφορούν την </w:t>
      </w:r>
      <w:r w:rsidR="007A3930">
        <w:rPr>
          <w:rStyle w:val="BodyTextChar"/>
          <w:rFonts w:ascii="Bookman Old Style" w:hAnsi="Bookman Old Style"/>
          <w:kern w:val="0"/>
          <w:sz w:val="28"/>
          <w:szCs w:val="28"/>
          <w:lang w:val="el-GR" w:bidi="en-US"/>
          <w14:ligatures w14:val="none"/>
        </w:rPr>
        <w:t>κατάληξη του Δικαστηρίου να εκδώσει το ως άνω διάταγμα</w:t>
      </w:r>
      <w:r w:rsidR="00F362D8" w:rsidRPr="00F362D8">
        <w:rPr>
          <w:rStyle w:val="BodyTextChar"/>
          <w:rFonts w:ascii="Bookman Old Style" w:hAnsi="Bookman Old Style"/>
          <w:kern w:val="0"/>
          <w:sz w:val="28"/>
          <w:szCs w:val="28"/>
          <w:lang w:val="el-GR" w:bidi="en-US"/>
          <w14:ligatures w14:val="none"/>
        </w:rPr>
        <w:t xml:space="preserve"> </w:t>
      </w:r>
      <w:r w:rsidR="00E55D82">
        <w:rPr>
          <w:rStyle w:val="BodyTextChar"/>
          <w:rFonts w:ascii="Bookman Old Style" w:hAnsi="Bookman Old Style"/>
          <w:kern w:val="0"/>
          <w:sz w:val="28"/>
          <w:szCs w:val="28"/>
          <w:lang w:val="el-GR" w:bidi="en-US"/>
          <w14:ligatures w14:val="none"/>
        </w:rPr>
        <w:t xml:space="preserve">στο  πλαίσιο μιας </w:t>
      </w:r>
      <w:r w:rsidR="007A3930">
        <w:rPr>
          <w:rStyle w:val="BodyTextChar"/>
          <w:rFonts w:ascii="Bookman Old Style" w:hAnsi="Bookman Old Style"/>
          <w:kern w:val="0"/>
          <w:sz w:val="28"/>
          <w:szCs w:val="28"/>
          <w:lang w:val="el-GR" w:bidi="en-US"/>
          <w14:ligatures w14:val="none"/>
        </w:rPr>
        <w:t>άλλης</w:t>
      </w:r>
      <w:r w:rsidR="004175D7" w:rsidRPr="004175D7">
        <w:rPr>
          <w:rStyle w:val="BodyTextChar"/>
          <w:rFonts w:ascii="Bookman Old Style" w:hAnsi="Bookman Old Style"/>
          <w:kern w:val="0"/>
          <w:sz w:val="28"/>
          <w:szCs w:val="28"/>
          <w:lang w:val="el-GR" w:bidi="en-US"/>
          <w14:ligatures w14:val="none"/>
        </w:rPr>
        <w:t xml:space="preserve"> </w:t>
      </w:r>
      <w:r w:rsidR="004175D7">
        <w:rPr>
          <w:rStyle w:val="BodyTextChar"/>
          <w:rFonts w:ascii="Bookman Old Style" w:hAnsi="Bookman Old Style"/>
          <w:kern w:val="0"/>
          <w:sz w:val="28"/>
          <w:szCs w:val="28"/>
          <w:lang w:val="el-GR" w:bidi="en-US"/>
          <w14:ligatures w14:val="none"/>
        </w:rPr>
        <w:t>διαδικασίας</w:t>
      </w:r>
      <w:r w:rsidR="00496191">
        <w:rPr>
          <w:rStyle w:val="BodyTextChar"/>
          <w:rFonts w:ascii="Bookman Old Style" w:hAnsi="Bookman Old Style"/>
          <w:kern w:val="0"/>
          <w:sz w:val="28"/>
          <w:szCs w:val="28"/>
          <w:lang w:val="el-GR" w:bidi="en-US"/>
          <w14:ligatures w14:val="none"/>
        </w:rPr>
        <w:t>, ανεξάρτητης από την Αίτηση αρ. 123/2019</w:t>
      </w:r>
      <w:r w:rsidR="004175D7">
        <w:rPr>
          <w:rStyle w:val="BodyTextChar"/>
          <w:rFonts w:ascii="Bookman Old Style" w:hAnsi="Bookman Old Style"/>
          <w:kern w:val="0"/>
          <w:sz w:val="28"/>
          <w:szCs w:val="28"/>
          <w:lang w:val="el-GR" w:bidi="en-US"/>
          <w14:ligatures w14:val="none"/>
        </w:rPr>
        <w:t>,</w:t>
      </w:r>
      <w:r w:rsidR="00496191">
        <w:rPr>
          <w:rStyle w:val="BodyTextChar"/>
          <w:rFonts w:ascii="Bookman Old Style" w:hAnsi="Bookman Old Style"/>
          <w:kern w:val="0"/>
          <w:sz w:val="28"/>
          <w:szCs w:val="28"/>
          <w:lang w:val="el-GR" w:bidi="en-US"/>
          <w14:ligatures w14:val="none"/>
        </w:rPr>
        <w:t xml:space="preserve"> </w:t>
      </w:r>
      <w:r w:rsidR="00E57F3A">
        <w:rPr>
          <w:rStyle w:val="BodyTextChar"/>
          <w:rFonts w:ascii="Bookman Old Style" w:hAnsi="Bookman Old Style"/>
          <w:kern w:val="0"/>
          <w:sz w:val="28"/>
          <w:szCs w:val="28"/>
          <w:lang w:val="el-GR" w:bidi="en-US"/>
          <w14:ligatures w14:val="none"/>
        </w:rPr>
        <w:t>(στο πλαίσιο της οποίας καταχωρίστηκε, κατά τον ίδιο τρόπο, η ως άνω συμφωνία ημερομηνίας 12.12.2022)</w:t>
      </w:r>
      <w:r w:rsidR="007A3930">
        <w:rPr>
          <w:rStyle w:val="BodyTextChar"/>
          <w:rFonts w:ascii="Bookman Old Style" w:hAnsi="Bookman Old Style"/>
          <w:kern w:val="0"/>
          <w:sz w:val="28"/>
          <w:szCs w:val="28"/>
          <w:lang w:val="el-GR" w:bidi="en-US"/>
          <w14:ligatures w14:val="none"/>
        </w:rPr>
        <w:t xml:space="preserve"> </w:t>
      </w:r>
      <w:r w:rsidR="00496191">
        <w:rPr>
          <w:rStyle w:val="BodyTextChar"/>
          <w:rFonts w:ascii="Bookman Old Style" w:hAnsi="Bookman Old Style"/>
          <w:kern w:val="0"/>
          <w:sz w:val="28"/>
          <w:szCs w:val="28"/>
          <w:lang w:val="el-GR" w:bidi="en-US"/>
          <w14:ligatures w14:val="none"/>
        </w:rPr>
        <w:t xml:space="preserve">δεν βλέπω πως θα δικαιολογούσαν </w:t>
      </w:r>
      <w:r w:rsidR="007A3930">
        <w:rPr>
          <w:rStyle w:val="BodyTextChar"/>
          <w:rFonts w:ascii="Bookman Old Style" w:hAnsi="Bookman Old Style"/>
          <w:kern w:val="0"/>
          <w:sz w:val="28"/>
          <w:szCs w:val="28"/>
          <w:lang w:val="el-GR" w:bidi="en-US"/>
          <w14:ligatures w14:val="none"/>
        </w:rPr>
        <w:t>τη</w:t>
      </w:r>
      <w:r w:rsidR="00E57F3A">
        <w:rPr>
          <w:rStyle w:val="BodyTextChar"/>
          <w:rFonts w:ascii="Bookman Old Style" w:hAnsi="Bookman Old Style"/>
          <w:kern w:val="0"/>
          <w:sz w:val="28"/>
          <w:szCs w:val="28"/>
          <w:lang w:val="el-GR" w:bidi="en-US"/>
          <w14:ligatures w14:val="none"/>
        </w:rPr>
        <w:t>ν</w:t>
      </w:r>
      <w:r w:rsidR="007A3930">
        <w:rPr>
          <w:rStyle w:val="BodyTextChar"/>
          <w:rFonts w:ascii="Bookman Old Style" w:hAnsi="Bookman Old Style"/>
          <w:kern w:val="0"/>
          <w:sz w:val="28"/>
          <w:szCs w:val="28"/>
          <w:lang w:val="el-GR" w:bidi="en-US"/>
          <w14:ligatures w14:val="none"/>
        </w:rPr>
        <w:t xml:space="preserve"> αιτούμενη παρέμβαση το</w:t>
      </w:r>
      <w:r w:rsidR="00E57F3A">
        <w:rPr>
          <w:rStyle w:val="BodyTextChar"/>
          <w:rFonts w:ascii="Bookman Old Style" w:hAnsi="Bookman Old Style"/>
          <w:kern w:val="0"/>
          <w:sz w:val="28"/>
          <w:szCs w:val="28"/>
          <w:lang w:val="el-GR" w:bidi="en-US"/>
          <w14:ligatures w14:val="none"/>
        </w:rPr>
        <w:t>υ</w:t>
      </w:r>
      <w:r w:rsidR="007A3930">
        <w:rPr>
          <w:rStyle w:val="BodyTextChar"/>
          <w:rFonts w:ascii="Bookman Old Style" w:hAnsi="Bookman Old Style"/>
          <w:kern w:val="0"/>
          <w:sz w:val="28"/>
          <w:szCs w:val="28"/>
          <w:lang w:val="el-GR" w:bidi="en-US"/>
          <w14:ligatures w14:val="none"/>
        </w:rPr>
        <w:t xml:space="preserve"> Δικαστηρίου </w:t>
      </w:r>
      <w:r w:rsidR="00496191">
        <w:rPr>
          <w:rStyle w:val="BodyTextChar"/>
          <w:rFonts w:ascii="Bookman Old Style" w:hAnsi="Bookman Old Style"/>
          <w:kern w:val="0"/>
          <w:sz w:val="28"/>
          <w:szCs w:val="28"/>
          <w:lang w:val="el-GR" w:bidi="en-US"/>
          <w14:ligatures w14:val="none"/>
        </w:rPr>
        <w:t>αναφορικά με την απόφαση</w:t>
      </w:r>
      <w:r w:rsidR="007A3930">
        <w:rPr>
          <w:rStyle w:val="BodyTextChar"/>
          <w:rFonts w:ascii="Bookman Old Style" w:hAnsi="Bookman Old Style"/>
          <w:kern w:val="0"/>
          <w:sz w:val="28"/>
          <w:szCs w:val="28"/>
          <w:lang w:val="el-GR" w:bidi="en-US"/>
          <w14:ligatures w14:val="none"/>
        </w:rPr>
        <w:t xml:space="preserve"> </w:t>
      </w:r>
      <w:r w:rsidR="00496191">
        <w:rPr>
          <w:rStyle w:val="BodyTextChar"/>
          <w:rFonts w:ascii="Bookman Old Style" w:hAnsi="Bookman Old Style"/>
          <w:kern w:val="0"/>
          <w:sz w:val="28"/>
          <w:szCs w:val="28"/>
          <w:lang w:val="el-GR" w:bidi="en-US"/>
          <w14:ligatures w14:val="none"/>
        </w:rPr>
        <w:t xml:space="preserve">ημερομηνίας 29.06.2023, </w:t>
      </w:r>
      <w:r w:rsidR="001845E4">
        <w:rPr>
          <w:rStyle w:val="BodyTextChar"/>
          <w:rFonts w:ascii="Bookman Old Style" w:hAnsi="Bookman Old Style"/>
          <w:kern w:val="0"/>
          <w:sz w:val="28"/>
          <w:szCs w:val="28"/>
          <w:lang w:val="el-GR" w:bidi="en-US"/>
          <w14:ligatures w14:val="none"/>
        </w:rPr>
        <w:t xml:space="preserve">η οποία </w:t>
      </w:r>
      <w:r w:rsidR="007A3930">
        <w:rPr>
          <w:rStyle w:val="BodyTextChar"/>
          <w:rFonts w:ascii="Bookman Old Style" w:hAnsi="Bookman Old Style"/>
          <w:kern w:val="0"/>
          <w:sz w:val="28"/>
          <w:szCs w:val="28"/>
          <w:lang w:val="el-GR" w:bidi="en-US"/>
          <w14:ligatures w14:val="none"/>
        </w:rPr>
        <w:t xml:space="preserve">εκδόθηκε στο πλαίσιο της </w:t>
      </w:r>
      <w:r w:rsidR="001845E4">
        <w:rPr>
          <w:rStyle w:val="BodyTextChar"/>
          <w:rFonts w:ascii="Bookman Old Style" w:hAnsi="Bookman Old Style"/>
          <w:kern w:val="0"/>
          <w:sz w:val="28"/>
          <w:szCs w:val="28"/>
          <w:lang w:val="el-GR" w:bidi="en-US"/>
          <w14:ligatures w14:val="none"/>
        </w:rPr>
        <w:t xml:space="preserve">Αίτησης αρ. </w:t>
      </w:r>
      <w:r w:rsidR="007A3930">
        <w:rPr>
          <w:rStyle w:val="BodyTextChar"/>
          <w:rFonts w:ascii="Bookman Old Style" w:hAnsi="Bookman Old Style"/>
          <w:kern w:val="0"/>
          <w:sz w:val="28"/>
          <w:szCs w:val="28"/>
          <w:lang w:val="el-GR" w:bidi="en-US"/>
          <w14:ligatures w14:val="none"/>
        </w:rPr>
        <w:t xml:space="preserve">123/2019.  </w:t>
      </w:r>
      <w:r w:rsidR="00091F02">
        <w:rPr>
          <w:rStyle w:val="BodyTextChar"/>
          <w:rFonts w:ascii="Bookman Old Style" w:hAnsi="Bookman Old Style"/>
          <w:kern w:val="0"/>
          <w:sz w:val="28"/>
          <w:szCs w:val="28"/>
          <w:lang w:val="el-GR" w:bidi="en-US"/>
          <w14:ligatures w14:val="none"/>
        </w:rPr>
        <w:t xml:space="preserve">Τα όποια δικαιώματα </w:t>
      </w:r>
      <w:r w:rsidR="0095765A">
        <w:rPr>
          <w:rStyle w:val="BodyTextChar"/>
          <w:rFonts w:ascii="Bookman Old Style" w:hAnsi="Bookman Old Style"/>
          <w:kern w:val="0"/>
          <w:sz w:val="28"/>
          <w:szCs w:val="28"/>
          <w:lang w:val="el-GR" w:bidi="en-US"/>
          <w14:ligatures w14:val="none"/>
        </w:rPr>
        <w:t xml:space="preserve">των παραγόντων και διαδίκων στην Αίτηση αρ. 337/2017, και οι δυνατότητες </w:t>
      </w:r>
      <w:r w:rsidR="001845E4">
        <w:rPr>
          <w:rStyle w:val="BodyTextChar"/>
          <w:rFonts w:ascii="Bookman Old Style" w:hAnsi="Bookman Old Style"/>
          <w:kern w:val="0"/>
          <w:sz w:val="28"/>
          <w:szCs w:val="28"/>
          <w:lang w:val="el-GR" w:bidi="en-US"/>
          <w14:ligatures w14:val="none"/>
        </w:rPr>
        <w:t xml:space="preserve">προβολής και </w:t>
      </w:r>
      <w:r w:rsidR="0095765A">
        <w:rPr>
          <w:rStyle w:val="BodyTextChar"/>
          <w:rFonts w:ascii="Bookman Old Style" w:hAnsi="Bookman Old Style"/>
          <w:kern w:val="0"/>
          <w:sz w:val="28"/>
          <w:szCs w:val="28"/>
          <w:lang w:val="el-GR" w:bidi="en-US"/>
          <w14:ligatures w14:val="none"/>
        </w:rPr>
        <w:t>προστασίας τους</w:t>
      </w:r>
      <w:r w:rsidR="00F362D8" w:rsidRPr="00CB625E">
        <w:rPr>
          <w:rStyle w:val="BodyTextChar"/>
          <w:rFonts w:ascii="Bookman Old Style" w:hAnsi="Bookman Old Style"/>
          <w:kern w:val="0"/>
          <w:sz w:val="28"/>
          <w:szCs w:val="28"/>
          <w:lang w:val="el-GR" w:bidi="en-US"/>
          <w14:ligatures w14:val="none"/>
        </w:rPr>
        <w:t>,</w:t>
      </w:r>
      <w:r w:rsidR="0095765A">
        <w:rPr>
          <w:rStyle w:val="BodyTextChar"/>
          <w:rFonts w:ascii="Bookman Old Style" w:hAnsi="Bookman Old Style"/>
          <w:kern w:val="0"/>
          <w:sz w:val="28"/>
          <w:szCs w:val="28"/>
          <w:lang w:val="el-GR" w:bidi="en-US"/>
          <w14:ligatures w14:val="none"/>
        </w:rPr>
        <w:t xml:space="preserve"> παραμένουν αλώβητα. </w:t>
      </w:r>
    </w:p>
    <w:p w14:paraId="4A77E0B7" w14:textId="77777777" w:rsidR="00146210" w:rsidRDefault="00146210" w:rsidP="00146210">
      <w:pPr>
        <w:pStyle w:val="BodyText"/>
        <w:tabs>
          <w:tab w:val="left" w:pos="509"/>
        </w:tabs>
        <w:spacing w:after="0" w:line="48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bidi="en-US"/>
        </w:rPr>
        <w:tab/>
      </w:r>
      <w:r w:rsidR="00DE728A">
        <w:rPr>
          <w:rStyle w:val="BodyTextChar"/>
          <w:rFonts w:ascii="Bookman Old Style" w:hAnsi="Bookman Old Style"/>
          <w:sz w:val="28"/>
          <w:szCs w:val="28"/>
          <w:lang w:val="el-GR" w:bidi="en-US"/>
        </w:rPr>
        <w:t xml:space="preserve">Είναι γεγονός ότι, σε </w:t>
      </w:r>
      <w:r w:rsidR="00DE728A" w:rsidRPr="0053721D">
        <w:rPr>
          <w:rFonts w:ascii="Bookman Old Style" w:eastAsia="Times New Roman" w:hAnsi="Bookman Old Style" w:cs="Times New Roman"/>
          <w:color w:val="000000"/>
          <w:kern w:val="0"/>
          <w:sz w:val="28"/>
          <w:szCs w:val="28"/>
          <w:lang w:val="el-GR"/>
          <w14:ligatures w14:val="none"/>
        </w:rPr>
        <w:t xml:space="preserve">εξαιρετικές </w:t>
      </w:r>
      <w:r w:rsidR="00DE728A">
        <w:rPr>
          <w:rFonts w:ascii="Bookman Old Style" w:eastAsia="Times New Roman" w:hAnsi="Bookman Old Style" w:cs="Times New Roman"/>
          <w:color w:val="000000"/>
          <w:kern w:val="0"/>
          <w:sz w:val="28"/>
          <w:szCs w:val="28"/>
          <w:lang w:val="el-GR"/>
          <w14:ligatures w14:val="none"/>
        </w:rPr>
        <w:t xml:space="preserve">πάντα </w:t>
      </w:r>
      <w:r w:rsidR="00DE728A" w:rsidRPr="0053721D">
        <w:rPr>
          <w:rFonts w:ascii="Bookman Old Style" w:eastAsia="Times New Roman" w:hAnsi="Bookman Old Style" w:cs="Times New Roman"/>
          <w:color w:val="000000"/>
          <w:kern w:val="0"/>
          <w:sz w:val="28"/>
          <w:szCs w:val="28"/>
          <w:lang w:val="el-GR"/>
          <w14:ligatures w14:val="none"/>
        </w:rPr>
        <w:t>περιστάσεις</w:t>
      </w:r>
      <w:r w:rsidR="00DE728A">
        <w:rPr>
          <w:rFonts w:ascii="Bookman Old Style" w:eastAsia="Times New Roman" w:hAnsi="Bookman Old Style" w:cs="Times New Roman"/>
          <w:color w:val="000000"/>
          <w:kern w:val="0"/>
          <w:sz w:val="28"/>
          <w:szCs w:val="28"/>
          <w:lang w:val="el-GR"/>
          <w14:ligatures w14:val="none"/>
        </w:rPr>
        <w:t xml:space="preserve">, μπορεί να δικαιολογηθεί παρέκκλιση </w:t>
      </w:r>
      <w:r w:rsidR="00DE728A" w:rsidRPr="0053721D">
        <w:rPr>
          <w:rFonts w:ascii="Bookman Old Style" w:eastAsia="Times New Roman" w:hAnsi="Bookman Old Style" w:cs="Times New Roman"/>
          <w:color w:val="000000"/>
          <w:kern w:val="0"/>
          <w:sz w:val="28"/>
          <w:szCs w:val="28"/>
          <w:lang w:val="el-GR"/>
          <w14:ligatures w14:val="none"/>
        </w:rPr>
        <w:t xml:space="preserve"> </w:t>
      </w:r>
      <w:r w:rsidR="00DE728A">
        <w:rPr>
          <w:rFonts w:ascii="Bookman Old Style" w:eastAsia="Times New Roman" w:hAnsi="Bookman Old Style" w:cs="Times New Roman"/>
          <w:color w:val="000000"/>
          <w:kern w:val="0"/>
          <w:sz w:val="28"/>
          <w:szCs w:val="28"/>
          <w:lang w:val="el-GR"/>
          <w14:ligatures w14:val="none"/>
        </w:rPr>
        <w:t xml:space="preserve">από τον κανόνα </w:t>
      </w:r>
      <w:r w:rsidR="00AC7CB3">
        <w:rPr>
          <w:rFonts w:ascii="Bookman Old Style" w:eastAsia="Times New Roman" w:hAnsi="Bookman Old Style" w:cs="Times New Roman"/>
          <w:color w:val="000000"/>
          <w:kern w:val="0"/>
          <w:sz w:val="28"/>
          <w:szCs w:val="28"/>
          <w:lang w:val="el-GR"/>
          <w14:ligatures w14:val="none"/>
        </w:rPr>
        <w:t xml:space="preserve">που προβλέπει ότι </w:t>
      </w:r>
      <w:r w:rsidR="008B4E1A">
        <w:rPr>
          <w:rFonts w:ascii="Bookman Old Style" w:eastAsia="Times New Roman" w:hAnsi="Bookman Old Style" w:cs="Times New Roman"/>
          <w:color w:val="000000"/>
          <w:kern w:val="0"/>
          <w:sz w:val="28"/>
          <w:szCs w:val="28"/>
          <w:lang w:val="el-GR"/>
          <w14:ligatures w14:val="none"/>
        </w:rPr>
        <w:t xml:space="preserve">δεν εκδίδεται Προνομιακό Ένταλμα ως το υπό συζήτηση, </w:t>
      </w:r>
      <w:r w:rsidR="00AC7CB3">
        <w:rPr>
          <w:rFonts w:ascii="Bookman Old Style" w:eastAsia="Times New Roman" w:hAnsi="Bookman Old Style" w:cs="Times New Roman"/>
          <w:color w:val="000000"/>
          <w:kern w:val="0"/>
          <w:sz w:val="28"/>
          <w:szCs w:val="28"/>
          <w:lang w:val="el-GR"/>
          <w14:ligatures w14:val="none"/>
        </w:rPr>
        <w:t>όπου προσφέρεται άλλου ένδικο μέσο ή θεραπεία</w:t>
      </w:r>
      <w:r w:rsidR="008B4E1A">
        <w:rPr>
          <w:rFonts w:ascii="Bookman Old Style" w:eastAsia="Times New Roman" w:hAnsi="Bookman Old Style" w:cs="Times New Roman"/>
          <w:color w:val="000000"/>
          <w:kern w:val="0"/>
          <w:sz w:val="28"/>
          <w:szCs w:val="28"/>
          <w:lang w:val="el-GR"/>
          <w14:ligatures w14:val="none"/>
        </w:rPr>
        <w:t xml:space="preserve"> (βλ. </w:t>
      </w:r>
      <w:r w:rsidR="008B4E1A" w:rsidRPr="008B4E1A">
        <w:rPr>
          <w:rFonts w:ascii="Bookman Old Style" w:eastAsia="Times New Roman" w:hAnsi="Bookman Old Style" w:cs="Times New Roman"/>
          <w:color w:val="000000"/>
          <w:kern w:val="0"/>
          <w:sz w:val="28"/>
          <w:szCs w:val="28"/>
          <w:lang w:val="el-GR"/>
          <w14:ligatures w14:val="none"/>
        </w:rPr>
        <w:t>Πέτρου Αρτέμη</w:t>
      </w:r>
      <w:r w:rsidR="008B4E1A" w:rsidRPr="008B4E1A">
        <w:rPr>
          <w:rFonts w:ascii="Bookman Old Style" w:eastAsia="Times New Roman" w:hAnsi="Bookman Old Style" w:cs="Times New Roman"/>
          <w:i/>
          <w:iCs/>
          <w:color w:val="000000"/>
          <w:kern w:val="0"/>
          <w:sz w:val="28"/>
          <w:szCs w:val="28"/>
          <w:lang w:val="el-GR"/>
          <w14:ligatures w14:val="none"/>
        </w:rPr>
        <w:t>,</w:t>
      </w:r>
      <w:r w:rsidR="008B4E1A" w:rsidRPr="00461151">
        <w:rPr>
          <w:rFonts w:ascii="Bookman Old Style" w:eastAsia="Times New Roman" w:hAnsi="Bookman Old Style" w:cs="Times New Roman"/>
          <w:b/>
          <w:bCs/>
          <w:i/>
          <w:iCs/>
          <w:color w:val="000000"/>
          <w:kern w:val="0"/>
          <w:sz w:val="28"/>
          <w:szCs w:val="28"/>
          <w:lang w:val="el-GR"/>
          <w14:ligatures w14:val="none"/>
        </w:rPr>
        <w:t xml:space="preserve"> </w:t>
      </w:r>
      <w:r w:rsidR="008B4E1A">
        <w:rPr>
          <w:rFonts w:ascii="Bookman Old Style" w:eastAsia="Times New Roman" w:hAnsi="Bookman Old Style" w:cs="Times New Roman"/>
          <w:b/>
          <w:bCs/>
          <w:i/>
          <w:iCs/>
          <w:color w:val="000000"/>
          <w:kern w:val="0"/>
          <w:sz w:val="28"/>
          <w:szCs w:val="28"/>
          <w:lang w:val="el-GR"/>
          <w14:ligatures w14:val="none"/>
        </w:rPr>
        <w:t>«</w:t>
      </w:r>
      <w:r w:rsidR="008B4E1A" w:rsidRPr="0095329F">
        <w:rPr>
          <w:rFonts w:ascii="Bookman Old Style" w:eastAsia="Times New Roman" w:hAnsi="Bookman Old Style" w:cs="Times New Roman"/>
          <w:b/>
          <w:bCs/>
          <w:i/>
          <w:iCs/>
          <w:color w:val="000000"/>
          <w:kern w:val="0"/>
          <w:sz w:val="28"/>
          <w:szCs w:val="28"/>
          <w:lang w:val="el-GR"/>
          <w14:ligatures w14:val="none"/>
        </w:rPr>
        <w:t>Προνομιακά Εντάλματα</w:t>
      </w:r>
      <w:r w:rsidR="008B4E1A" w:rsidRPr="0095329F">
        <w:rPr>
          <w:rFonts w:ascii="Bookman Old Style" w:eastAsia="Times New Roman" w:hAnsi="Bookman Old Style" w:cs="Times New Roman"/>
          <w:b/>
          <w:bCs/>
          <w:color w:val="000000"/>
          <w:kern w:val="0"/>
          <w:sz w:val="28"/>
          <w:szCs w:val="28"/>
          <w:lang w:val="el-GR"/>
          <w14:ligatures w14:val="none"/>
        </w:rPr>
        <w:t xml:space="preserve"> </w:t>
      </w:r>
      <w:r w:rsidR="008B4E1A">
        <w:rPr>
          <w:rFonts w:ascii="Bookman Old Style" w:eastAsia="Times New Roman" w:hAnsi="Bookman Old Style" w:cs="Times New Roman"/>
          <w:b/>
          <w:bCs/>
          <w:color w:val="000000"/>
          <w:kern w:val="0"/>
          <w:sz w:val="28"/>
          <w:szCs w:val="28"/>
          <w:lang w:val="el-GR"/>
          <w14:ligatures w14:val="none"/>
        </w:rPr>
        <w:t xml:space="preserve">Αρχές και Υποθέσεις», </w:t>
      </w:r>
      <w:r w:rsidR="008B4E1A" w:rsidRPr="00461151">
        <w:rPr>
          <w:rFonts w:ascii="Bookman Old Style" w:eastAsia="Times New Roman" w:hAnsi="Bookman Old Style" w:cs="Times New Roman"/>
          <w:color w:val="000000"/>
          <w:kern w:val="0"/>
          <w:sz w:val="28"/>
          <w:szCs w:val="28"/>
          <w:lang w:val="el-GR"/>
          <w14:ligatures w14:val="none"/>
        </w:rPr>
        <w:t xml:space="preserve">σελ. </w:t>
      </w:r>
      <w:r w:rsidR="008B4E1A">
        <w:rPr>
          <w:rFonts w:ascii="Bookman Old Style" w:eastAsia="Times New Roman" w:hAnsi="Bookman Old Style" w:cs="Times New Roman"/>
          <w:color w:val="000000"/>
          <w:kern w:val="0"/>
          <w:sz w:val="28"/>
          <w:szCs w:val="28"/>
          <w:lang w:val="el-GR"/>
          <w14:ligatures w14:val="none"/>
        </w:rPr>
        <w:t>166)</w:t>
      </w:r>
      <w:r w:rsidR="00AC7CB3">
        <w:rPr>
          <w:rFonts w:ascii="Bookman Old Style" w:eastAsia="Times New Roman" w:hAnsi="Bookman Old Style" w:cs="Times New Roman"/>
          <w:color w:val="000000"/>
          <w:kern w:val="0"/>
          <w:sz w:val="28"/>
          <w:szCs w:val="28"/>
          <w:lang w:val="el-GR"/>
          <w14:ligatures w14:val="none"/>
        </w:rPr>
        <w:t xml:space="preserve">.  </w:t>
      </w:r>
      <w:r w:rsidR="001845E4">
        <w:rPr>
          <w:rFonts w:ascii="Bookman Old Style" w:eastAsia="Times New Roman" w:hAnsi="Bookman Old Style" w:cs="Times New Roman"/>
          <w:color w:val="000000"/>
          <w:kern w:val="0"/>
          <w:sz w:val="28"/>
          <w:szCs w:val="28"/>
          <w:lang w:val="el-GR"/>
          <w14:ligatures w14:val="none"/>
        </w:rPr>
        <w:t>Ωστόσο, α</w:t>
      </w:r>
      <w:r w:rsidR="00280013">
        <w:rPr>
          <w:rFonts w:ascii="Bookman Old Style" w:eastAsia="Times New Roman" w:hAnsi="Bookman Old Style" w:cs="Times New Roman"/>
          <w:color w:val="000000"/>
          <w:kern w:val="0"/>
          <w:sz w:val="28"/>
          <w:szCs w:val="28"/>
          <w:lang w:val="el-GR"/>
          <w14:ligatures w14:val="none"/>
        </w:rPr>
        <w:t xml:space="preserve">ναμενόμενες εξελίξεις, </w:t>
      </w:r>
      <w:r w:rsidR="001845E4">
        <w:rPr>
          <w:rFonts w:ascii="Bookman Old Style" w:eastAsia="Times New Roman" w:hAnsi="Bookman Old Style" w:cs="Times New Roman"/>
          <w:color w:val="000000"/>
          <w:kern w:val="0"/>
          <w:sz w:val="28"/>
          <w:szCs w:val="28"/>
          <w:lang w:val="el-GR"/>
          <w14:ligatures w14:val="none"/>
        </w:rPr>
        <w:t xml:space="preserve">νομικές </w:t>
      </w:r>
      <w:r w:rsidR="00280013">
        <w:rPr>
          <w:rFonts w:ascii="Bookman Old Style" w:eastAsia="Times New Roman" w:hAnsi="Bookman Old Style" w:cs="Times New Roman"/>
          <w:color w:val="000000"/>
          <w:kern w:val="0"/>
          <w:sz w:val="28"/>
          <w:szCs w:val="28"/>
          <w:lang w:val="el-GR"/>
          <w14:ligatures w14:val="none"/>
        </w:rPr>
        <w:t xml:space="preserve">επιπτώσεις </w:t>
      </w:r>
      <w:r w:rsidR="001845E4">
        <w:rPr>
          <w:rFonts w:ascii="Bookman Old Style" w:eastAsia="Times New Roman" w:hAnsi="Bookman Old Style" w:cs="Times New Roman"/>
          <w:color w:val="000000"/>
          <w:kern w:val="0"/>
          <w:sz w:val="28"/>
          <w:szCs w:val="28"/>
          <w:lang w:val="el-GR"/>
          <w14:ligatures w14:val="none"/>
        </w:rPr>
        <w:t>ή</w:t>
      </w:r>
      <w:r w:rsidR="00280013">
        <w:rPr>
          <w:rFonts w:ascii="Bookman Old Style" w:eastAsia="Times New Roman" w:hAnsi="Bookman Old Style" w:cs="Times New Roman"/>
          <w:color w:val="000000"/>
          <w:kern w:val="0"/>
          <w:sz w:val="28"/>
          <w:szCs w:val="28"/>
          <w:lang w:val="el-GR"/>
          <w14:ligatures w14:val="none"/>
        </w:rPr>
        <w:t xml:space="preserve"> συνέπειες από την έκδοση μιας </w:t>
      </w:r>
      <w:r w:rsidR="008C7FC0">
        <w:rPr>
          <w:rFonts w:ascii="Bookman Old Style" w:eastAsia="Times New Roman" w:hAnsi="Bookman Old Style" w:cs="Times New Roman"/>
          <w:color w:val="000000"/>
          <w:kern w:val="0"/>
          <w:sz w:val="28"/>
          <w:szCs w:val="28"/>
          <w:lang w:val="el-GR"/>
          <w14:ligatures w14:val="none"/>
        </w:rPr>
        <w:t>απόφασης, δεν συνιστούν</w:t>
      </w:r>
      <w:r w:rsidR="0084671B">
        <w:rPr>
          <w:rFonts w:ascii="Bookman Old Style" w:eastAsia="Times New Roman" w:hAnsi="Bookman Old Style" w:cs="Times New Roman"/>
          <w:color w:val="000000"/>
          <w:kern w:val="0"/>
          <w:sz w:val="28"/>
          <w:szCs w:val="28"/>
          <w:lang w:val="el-GR"/>
          <w14:ligatures w14:val="none"/>
        </w:rPr>
        <w:t>,</w:t>
      </w:r>
      <w:r w:rsidR="008C7FC0">
        <w:rPr>
          <w:rFonts w:ascii="Bookman Old Style" w:eastAsia="Times New Roman" w:hAnsi="Bookman Old Style" w:cs="Times New Roman"/>
          <w:color w:val="000000"/>
          <w:kern w:val="0"/>
          <w:sz w:val="28"/>
          <w:szCs w:val="28"/>
          <w:lang w:val="el-GR"/>
          <w14:ligatures w14:val="none"/>
        </w:rPr>
        <w:t xml:space="preserve"> νομοτελειακά και απαρέγκλιτα</w:t>
      </w:r>
      <w:r w:rsidR="0084671B">
        <w:rPr>
          <w:rFonts w:ascii="Bookman Old Style" w:eastAsia="Times New Roman" w:hAnsi="Bookman Old Style" w:cs="Times New Roman"/>
          <w:color w:val="000000"/>
          <w:kern w:val="0"/>
          <w:sz w:val="28"/>
          <w:szCs w:val="28"/>
          <w:lang w:val="el-GR"/>
          <w14:ligatures w14:val="none"/>
        </w:rPr>
        <w:t>,</w:t>
      </w:r>
      <w:r w:rsidR="008C7FC0">
        <w:rPr>
          <w:rFonts w:ascii="Bookman Old Style" w:eastAsia="Times New Roman" w:hAnsi="Bookman Old Style" w:cs="Times New Roman"/>
          <w:color w:val="000000"/>
          <w:kern w:val="0"/>
          <w:sz w:val="28"/>
          <w:szCs w:val="28"/>
          <w:lang w:val="el-GR"/>
          <w14:ligatures w14:val="none"/>
        </w:rPr>
        <w:t xml:space="preserve"> </w:t>
      </w:r>
      <w:r w:rsidR="00280013">
        <w:rPr>
          <w:rFonts w:ascii="Bookman Old Style" w:eastAsia="Times New Roman" w:hAnsi="Bookman Old Style" w:cs="Times New Roman"/>
          <w:color w:val="000000"/>
          <w:kern w:val="0"/>
          <w:sz w:val="28"/>
          <w:szCs w:val="28"/>
          <w:lang w:val="el-GR"/>
          <w14:ligatures w14:val="none"/>
        </w:rPr>
        <w:t xml:space="preserve"> </w:t>
      </w:r>
      <w:r w:rsidR="008C7FC0">
        <w:rPr>
          <w:rStyle w:val="BodyTextChar"/>
          <w:rFonts w:ascii="Bookman Old Style" w:hAnsi="Bookman Old Style"/>
          <w:sz w:val="28"/>
          <w:szCs w:val="28"/>
          <w:lang w:val="el-GR" w:bidi="en-US"/>
        </w:rPr>
        <w:t>εξαιρετικές περιστάσεις δυνάμενες να δικαιολογούν παρέμβαση του Δικαστηρίου</w:t>
      </w:r>
      <w:r w:rsidR="0084671B">
        <w:rPr>
          <w:rStyle w:val="BodyTextChar"/>
          <w:rFonts w:ascii="Bookman Old Style" w:hAnsi="Bookman Old Style"/>
          <w:sz w:val="28"/>
          <w:szCs w:val="28"/>
          <w:lang w:val="el-GR" w:bidi="en-US"/>
        </w:rPr>
        <w:t>,</w:t>
      </w:r>
      <w:r w:rsidR="008C7FC0">
        <w:rPr>
          <w:rStyle w:val="BodyTextChar"/>
          <w:rFonts w:ascii="Bookman Old Style" w:hAnsi="Bookman Old Style"/>
          <w:sz w:val="28"/>
          <w:szCs w:val="28"/>
          <w:lang w:val="el-GR" w:bidi="en-US"/>
        </w:rPr>
        <w:t xml:space="preserve"> </w:t>
      </w:r>
      <w:r w:rsidR="0084671B">
        <w:rPr>
          <w:rStyle w:val="BodyTextChar"/>
          <w:rFonts w:ascii="Bookman Old Style" w:hAnsi="Bookman Old Style"/>
          <w:sz w:val="28"/>
          <w:szCs w:val="28"/>
          <w:lang w:val="el-GR" w:bidi="en-US"/>
        </w:rPr>
        <w:t xml:space="preserve">του είδους που </w:t>
      </w:r>
      <w:r w:rsidR="008C7FC0">
        <w:rPr>
          <w:rStyle w:val="BodyTextChar"/>
          <w:rFonts w:ascii="Bookman Old Style" w:hAnsi="Bookman Old Style"/>
          <w:sz w:val="28"/>
          <w:szCs w:val="28"/>
          <w:lang w:val="el-GR" w:bidi="en-US"/>
        </w:rPr>
        <w:t xml:space="preserve">επιζητείται στην υπό συζήτηση περίπτωση. </w:t>
      </w:r>
      <w:r w:rsidR="00091F02">
        <w:rPr>
          <w:rStyle w:val="BodyTextChar"/>
          <w:rFonts w:ascii="Bookman Old Style" w:hAnsi="Bookman Old Style"/>
          <w:sz w:val="28"/>
          <w:szCs w:val="28"/>
          <w:lang w:val="el-GR" w:bidi="en-US"/>
        </w:rPr>
        <w:t xml:space="preserve">Συνεκτιμώντας το σύνολο όλων όσων έχουν τεθεί </w:t>
      </w:r>
      <w:r w:rsidR="001845E4">
        <w:rPr>
          <w:rStyle w:val="BodyTextChar"/>
          <w:rFonts w:ascii="Bookman Old Style" w:hAnsi="Bookman Old Style"/>
          <w:sz w:val="28"/>
          <w:szCs w:val="28"/>
          <w:lang w:val="el-GR" w:bidi="en-US"/>
        </w:rPr>
        <w:t>υπόψη</w:t>
      </w:r>
      <w:r w:rsidR="00091F02">
        <w:rPr>
          <w:rStyle w:val="BodyTextChar"/>
          <w:rFonts w:ascii="Bookman Old Style" w:hAnsi="Bookman Old Style"/>
          <w:sz w:val="28"/>
          <w:szCs w:val="28"/>
          <w:lang w:val="el-GR" w:bidi="en-US"/>
        </w:rPr>
        <w:t xml:space="preserve"> του Δικαστηρίου για το ζήτημα, τέτοιες, </w:t>
      </w:r>
      <w:r w:rsidR="00BF4943">
        <w:rPr>
          <w:rFonts w:ascii="Bookman Old Style" w:eastAsia="Times New Roman" w:hAnsi="Bookman Old Style" w:cs="Times New Roman"/>
          <w:color w:val="000000"/>
          <w:kern w:val="0"/>
          <w:sz w:val="28"/>
          <w:szCs w:val="28"/>
          <w:lang w:val="el-GR"/>
          <w14:ligatures w14:val="none"/>
        </w:rPr>
        <w:t xml:space="preserve">εξαιρετικές περιστάσεις, οι οποίες θα συνηγορούσαν υπέρ της παροχής της αιτούμενης άδειας, δεν διαπιστώνονται στην υπό συζήτηση περίπτωση. Αντίθετα, φαίνεται να υπάρχουν </w:t>
      </w:r>
      <w:r w:rsidR="0084671B">
        <w:rPr>
          <w:rStyle w:val="BodyTextChar"/>
          <w:rFonts w:ascii="Bookman Old Style" w:hAnsi="Bookman Old Style"/>
          <w:sz w:val="28"/>
          <w:szCs w:val="28"/>
          <w:lang w:val="el-GR" w:bidi="en-US"/>
        </w:rPr>
        <w:t xml:space="preserve">διαθέσιμα δικονομικά διαβήματα και μηχανισμοί </w:t>
      </w:r>
      <w:r w:rsidR="007B3C79">
        <w:rPr>
          <w:rStyle w:val="BodyTextChar"/>
          <w:rFonts w:ascii="Bookman Old Style" w:hAnsi="Bookman Old Style"/>
          <w:sz w:val="28"/>
          <w:szCs w:val="28"/>
          <w:lang w:val="el-GR" w:bidi="en-US"/>
        </w:rPr>
        <w:t xml:space="preserve">για την </w:t>
      </w:r>
      <w:r w:rsidR="00BF4943">
        <w:rPr>
          <w:rStyle w:val="BodyTextChar"/>
          <w:rFonts w:ascii="Bookman Old Style" w:hAnsi="Bookman Old Style"/>
          <w:sz w:val="28"/>
          <w:szCs w:val="28"/>
          <w:lang w:val="el-GR" w:bidi="en-US"/>
        </w:rPr>
        <w:t>διεκδίκηση «</w:t>
      </w:r>
      <w:r w:rsidR="007B3C79">
        <w:rPr>
          <w:rStyle w:val="BodyTextChar"/>
          <w:rFonts w:ascii="Bookman Old Style" w:hAnsi="Bookman Old Style"/>
          <w:sz w:val="28"/>
          <w:szCs w:val="28"/>
          <w:lang w:val="el-GR" w:bidi="en-US"/>
        </w:rPr>
        <w:t>προστασία</w:t>
      </w:r>
      <w:r w:rsidR="00BF4943">
        <w:rPr>
          <w:rStyle w:val="BodyTextChar"/>
          <w:rFonts w:ascii="Bookman Old Style" w:hAnsi="Bookman Old Style"/>
          <w:sz w:val="28"/>
          <w:szCs w:val="28"/>
          <w:lang w:val="el-GR" w:bidi="en-US"/>
        </w:rPr>
        <w:t>ς»</w:t>
      </w:r>
      <w:r w:rsidR="007B3C79">
        <w:rPr>
          <w:rStyle w:val="BodyTextChar"/>
          <w:rFonts w:ascii="Bookman Old Style" w:hAnsi="Bookman Old Style"/>
          <w:sz w:val="28"/>
          <w:szCs w:val="28"/>
          <w:lang w:val="el-GR" w:bidi="en-US"/>
        </w:rPr>
        <w:t xml:space="preserve"> των προβαλλόμενων συμφερόντων </w:t>
      </w:r>
      <w:r w:rsidR="0084671B">
        <w:rPr>
          <w:rStyle w:val="BodyTextChar"/>
          <w:rFonts w:ascii="Bookman Old Style" w:hAnsi="Bookman Old Style"/>
          <w:sz w:val="28"/>
          <w:szCs w:val="28"/>
          <w:lang w:val="el-GR" w:bidi="en-US"/>
        </w:rPr>
        <w:t>των αιτητών</w:t>
      </w:r>
      <w:r w:rsidR="00BF4943">
        <w:rPr>
          <w:rStyle w:val="BodyTextChar"/>
          <w:rFonts w:ascii="Bookman Old Style" w:hAnsi="Bookman Old Style"/>
          <w:sz w:val="28"/>
          <w:szCs w:val="28"/>
          <w:lang w:val="el-GR" w:bidi="en-US"/>
        </w:rPr>
        <w:t>.</w:t>
      </w:r>
    </w:p>
    <w:p w14:paraId="7B00E7B9" w14:textId="2D705BA0" w:rsidR="008C7FC0" w:rsidRDefault="00BF4943" w:rsidP="00146210">
      <w:pPr>
        <w:pStyle w:val="BodyText"/>
        <w:tabs>
          <w:tab w:val="left" w:pos="509"/>
        </w:tabs>
        <w:spacing w:after="0" w:line="24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bidi="en-US"/>
        </w:rPr>
        <w:t xml:space="preserve"> </w:t>
      </w:r>
    </w:p>
    <w:p w14:paraId="78BD91E8" w14:textId="2942BEB8" w:rsidR="000566B2" w:rsidRDefault="00146210" w:rsidP="00146210">
      <w:pPr>
        <w:pStyle w:val="BodyText"/>
        <w:tabs>
          <w:tab w:val="left" w:pos="509"/>
        </w:tabs>
        <w:spacing w:after="0" w:line="48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bidi="en-US"/>
        </w:rPr>
        <w:tab/>
      </w:r>
      <w:r w:rsidR="000566B2">
        <w:rPr>
          <w:rStyle w:val="BodyTextChar"/>
          <w:rFonts w:ascii="Bookman Old Style" w:hAnsi="Bookman Old Style"/>
          <w:sz w:val="28"/>
          <w:szCs w:val="28"/>
          <w:lang w:val="el-GR" w:bidi="en-US"/>
        </w:rPr>
        <w:t>Ούτε ζήτημα παραβίασης αρχών φυσικής δικαιοσύνης φαίνεται να τίθεται</w:t>
      </w:r>
      <w:r w:rsidR="00091F02">
        <w:rPr>
          <w:rStyle w:val="BodyTextChar"/>
          <w:rFonts w:ascii="Bookman Old Style" w:hAnsi="Bookman Old Style"/>
          <w:sz w:val="28"/>
          <w:szCs w:val="28"/>
          <w:lang w:val="el-GR" w:bidi="en-US"/>
        </w:rPr>
        <w:t>, κατά τον τρόπο που προκρίνεται τούτο από την πλευρά των αιτητών. Η</w:t>
      </w:r>
      <w:r w:rsidR="000566B2">
        <w:rPr>
          <w:rStyle w:val="BodyTextChar"/>
          <w:rFonts w:ascii="Bookman Old Style" w:hAnsi="Bookman Old Style"/>
          <w:sz w:val="28"/>
          <w:szCs w:val="28"/>
          <w:lang w:val="el-GR" w:bidi="en-US"/>
        </w:rPr>
        <w:t xml:space="preserve"> απόφαση του Δικαστηρίου</w:t>
      </w:r>
      <w:r w:rsidR="00125F7D">
        <w:rPr>
          <w:rStyle w:val="BodyTextChar"/>
          <w:rFonts w:ascii="Bookman Old Style" w:hAnsi="Bookman Old Style"/>
          <w:sz w:val="28"/>
          <w:szCs w:val="28"/>
          <w:lang w:val="el-GR" w:bidi="en-US"/>
        </w:rPr>
        <w:t xml:space="preserve"> ημερομηνίας 29.06.2023, </w:t>
      </w:r>
      <w:r w:rsidR="000566B2">
        <w:rPr>
          <w:rStyle w:val="BodyTextChar"/>
          <w:rFonts w:ascii="Bookman Old Style" w:hAnsi="Bookman Old Style"/>
          <w:sz w:val="28"/>
          <w:szCs w:val="28"/>
          <w:lang w:val="el-GR" w:bidi="en-US"/>
        </w:rPr>
        <w:t xml:space="preserve"> όπως φαίνεται να δεσμεύτηκε </w:t>
      </w:r>
      <w:r w:rsidR="00125F7D">
        <w:rPr>
          <w:rStyle w:val="BodyTextChar"/>
          <w:rFonts w:ascii="Bookman Old Style" w:hAnsi="Bookman Old Style"/>
          <w:sz w:val="28"/>
          <w:szCs w:val="28"/>
          <w:lang w:val="el-GR" w:bidi="en-US"/>
        </w:rPr>
        <w:t xml:space="preserve">το Δικαστήριο </w:t>
      </w:r>
      <w:r w:rsidR="000566B2">
        <w:rPr>
          <w:rStyle w:val="BodyTextChar"/>
          <w:rFonts w:ascii="Bookman Old Style" w:hAnsi="Bookman Old Style"/>
          <w:sz w:val="28"/>
          <w:szCs w:val="28"/>
          <w:lang w:val="el-GR" w:bidi="en-US"/>
        </w:rPr>
        <w:t>στην εξέλιξη της διαδικασίας</w:t>
      </w:r>
      <w:r w:rsidR="00125F7D">
        <w:rPr>
          <w:rStyle w:val="BodyTextChar"/>
          <w:rFonts w:ascii="Bookman Old Style" w:hAnsi="Bookman Old Style"/>
          <w:sz w:val="28"/>
          <w:szCs w:val="28"/>
          <w:lang w:val="el-GR" w:bidi="en-US"/>
        </w:rPr>
        <w:t>,</w:t>
      </w:r>
      <w:r w:rsidR="000566B2">
        <w:rPr>
          <w:rStyle w:val="BodyTextChar"/>
          <w:rFonts w:ascii="Bookman Old Style" w:hAnsi="Bookman Old Style"/>
          <w:sz w:val="28"/>
          <w:szCs w:val="28"/>
          <w:lang w:val="el-GR" w:bidi="en-US"/>
        </w:rPr>
        <w:t xml:space="preserve"> στηρίχθηκε στις προϋποθέσεις του Νόμου και όχι στις πρόνοιες της συμφωνίας η οποία τέθηκε υπόψιν του.  </w:t>
      </w:r>
      <w:r w:rsidR="00125F7D">
        <w:rPr>
          <w:rStyle w:val="BodyTextChar"/>
          <w:rFonts w:ascii="Bookman Old Style" w:hAnsi="Bookman Old Style"/>
          <w:sz w:val="28"/>
          <w:szCs w:val="28"/>
          <w:lang w:val="el-GR" w:bidi="en-US"/>
        </w:rPr>
        <w:t xml:space="preserve">Ως έχει υποδειχθεί, η  επιλογή του Δικαστηρίου να ορίσει, κατά τον τρόπο που έπραξε τούτο στο τέλος της απόφασής του,  όπως η διαταχθείσα εκκαθάριση </w:t>
      </w:r>
      <w:r w:rsidR="000566B2">
        <w:rPr>
          <w:rStyle w:val="BodyTextChar"/>
          <w:rFonts w:ascii="Bookman Old Style" w:hAnsi="Bookman Old Style"/>
          <w:sz w:val="28"/>
          <w:szCs w:val="28"/>
          <w:lang w:val="el-GR" w:bidi="en-US"/>
        </w:rPr>
        <w:t>διεξαχθεί στη βάση της συμφωνίας ημερομηνίας 12.12.2022</w:t>
      </w:r>
      <w:r w:rsidR="00125F7D">
        <w:rPr>
          <w:rStyle w:val="BodyTextChar"/>
          <w:rFonts w:ascii="Bookman Old Style" w:hAnsi="Bookman Old Style"/>
          <w:sz w:val="28"/>
          <w:szCs w:val="28"/>
          <w:lang w:val="el-GR" w:bidi="en-US"/>
        </w:rPr>
        <w:t xml:space="preserve">, αν ορθά ή λανθασμένα ενσωματώθηκε </w:t>
      </w:r>
      <w:r w:rsidR="001845E4">
        <w:rPr>
          <w:rStyle w:val="BodyTextChar"/>
          <w:rFonts w:ascii="Bookman Old Style" w:hAnsi="Bookman Old Style"/>
          <w:sz w:val="28"/>
          <w:szCs w:val="28"/>
          <w:lang w:val="el-GR" w:bidi="en-US"/>
        </w:rPr>
        <w:t xml:space="preserve">η εν λόγω συμφωνία </w:t>
      </w:r>
      <w:r w:rsidR="00125F7D">
        <w:rPr>
          <w:rStyle w:val="BodyTextChar"/>
          <w:rFonts w:ascii="Bookman Old Style" w:hAnsi="Bookman Old Style"/>
          <w:sz w:val="28"/>
          <w:szCs w:val="28"/>
          <w:lang w:val="el-GR" w:bidi="en-US"/>
        </w:rPr>
        <w:t xml:space="preserve">στο φάκελο </w:t>
      </w:r>
      <w:r w:rsidR="001845E4">
        <w:rPr>
          <w:rStyle w:val="BodyTextChar"/>
          <w:rFonts w:ascii="Bookman Old Style" w:hAnsi="Bookman Old Style"/>
          <w:sz w:val="28"/>
          <w:szCs w:val="28"/>
          <w:lang w:val="el-GR" w:bidi="en-US"/>
        </w:rPr>
        <w:t xml:space="preserve">της διαδικασίας </w:t>
      </w:r>
      <w:r w:rsidR="00125F7D">
        <w:rPr>
          <w:rStyle w:val="BodyTextChar"/>
          <w:rFonts w:ascii="Bookman Old Style" w:hAnsi="Bookman Old Style"/>
          <w:sz w:val="28"/>
          <w:szCs w:val="28"/>
          <w:lang w:val="el-GR" w:bidi="en-US"/>
        </w:rPr>
        <w:t>και αναγνωρίστηκε ως Κανόνας του Δικαστηρίου, ή ακόμα</w:t>
      </w:r>
      <w:r w:rsidR="00E12AF0">
        <w:rPr>
          <w:rStyle w:val="BodyTextChar"/>
          <w:rFonts w:ascii="Bookman Old Style" w:hAnsi="Bookman Old Style"/>
          <w:sz w:val="28"/>
          <w:szCs w:val="28"/>
          <w:lang w:val="el-GR" w:bidi="en-US"/>
        </w:rPr>
        <w:t>,</w:t>
      </w:r>
      <w:r w:rsidR="00125F7D">
        <w:rPr>
          <w:rStyle w:val="BodyTextChar"/>
          <w:rFonts w:ascii="Bookman Old Style" w:hAnsi="Bookman Old Style"/>
          <w:sz w:val="28"/>
          <w:szCs w:val="28"/>
          <w:lang w:val="el-GR" w:bidi="en-US"/>
        </w:rPr>
        <w:t xml:space="preserve"> </w:t>
      </w:r>
      <w:r w:rsidR="000566B2">
        <w:rPr>
          <w:rStyle w:val="BodyTextChar"/>
          <w:rFonts w:ascii="Bookman Old Style" w:hAnsi="Bookman Old Style"/>
          <w:sz w:val="28"/>
          <w:szCs w:val="28"/>
          <w:lang w:val="el-GR" w:bidi="en-US"/>
        </w:rPr>
        <w:t xml:space="preserve">αν συνάδει ή όχι με τις πρόνοιες τις </w:t>
      </w:r>
      <w:r w:rsidR="0080750A">
        <w:rPr>
          <w:rStyle w:val="BodyTextChar"/>
          <w:rFonts w:ascii="Bookman Old Style" w:hAnsi="Bookman Old Style"/>
          <w:sz w:val="28"/>
          <w:szCs w:val="28"/>
          <w:lang w:val="el-GR" w:bidi="en-US"/>
        </w:rPr>
        <w:t>σχετικής</w:t>
      </w:r>
      <w:r w:rsidR="000566B2">
        <w:rPr>
          <w:rStyle w:val="BodyTextChar"/>
          <w:rFonts w:ascii="Bookman Old Style" w:hAnsi="Bookman Old Style"/>
          <w:sz w:val="28"/>
          <w:szCs w:val="28"/>
          <w:lang w:val="el-GR" w:bidi="en-US"/>
        </w:rPr>
        <w:t xml:space="preserve"> νομοθεσία ή παραβιάζει </w:t>
      </w:r>
      <w:r w:rsidR="0080750A">
        <w:rPr>
          <w:rStyle w:val="BodyTextChar"/>
          <w:rFonts w:ascii="Bookman Old Style" w:hAnsi="Bookman Old Style"/>
          <w:sz w:val="28"/>
          <w:szCs w:val="28"/>
          <w:lang w:val="el-GR" w:bidi="en-US"/>
        </w:rPr>
        <w:t>γενικότερα</w:t>
      </w:r>
      <w:r w:rsidR="000566B2">
        <w:rPr>
          <w:rStyle w:val="BodyTextChar"/>
          <w:rFonts w:ascii="Bookman Old Style" w:hAnsi="Bookman Old Style"/>
          <w:sz w:val="28"/>
          <w:szCs w:val="28"/>
          <w:lang w:val="el-GR" w:bidi="en-US"/>
        </w:rPr>
        <w:t xml:space="preserve"> ως έχει </w:t>
      </w:r>
      <w:r w:rsidR="0080750A">
        <w:rPr>
          <w:rStyle w:val="BodyTextChar"/>
          <w:rFonts w:ascii="Bookman Old Style" w:hAnsi="Bookman Old Style"/>
          <w:sz w:val="28"/>
          <w:szCs w:val="28"/>
          <w:lang w:val="el-GR" w:bidi="en-US"/>
        </w:rPr>
        <w:t>τεθεί</w:t>
      </w:r>
      <w:r w:rsidR="000566B2">
        <w:rPr>
          <w:rStyle w:val="BodyTextChar"/>
          <w:rFonts w:ascii="Bookman Old Style" w:hAnsi="Bookman Old Style"/>
          <w:sz w:val="28"/>
          <w:szCs w:val="28"/>
          <w:lang w:val="el-GR" w:bidi="en-US"/>
        </w:rPr>
        <w:t xml:space="preserve"> τ</w:t>
      </w:r>
      <w:r w:rsidR="0080750A">
        <w:rPr>
          <w:rStyle w:val="BodyTextChar"/>
          <w:rFonts w:ascii="Bookman Old Style" w:hAnsi="Bookman Old Style"/>
          <w:sz w:val="28"/>
          <w:szCs w:val="28"/>
          <w:lang w:val="el-GR" w:bidi="en-US"/>
        </w:rPr>
        <w:t>ο</w:t>
      </w:r>
      <w:r w:rsidR="000566B2">
        <w:rPr>
          <w:rStyle w:val="BodyTextChar"/>
          <w:rFonts w:ascii="Bookman Old Style" w:hAnsi="Bookman Old Style"/>
          <w:sz w:val="28"/>
          <w:szCs w:val="28"/>
          <w:lang w:val="el-GR" w:bidi="en-US"/>
        </w:rPr>
        <w:t xml:space="preserve"> </w:t>
      </w:r>
      <w:r w:rsidR="0080750A">
        <w:rPr>
          <w:rStyle w:val="BodyTextChar"/>
          <w:rFonts w:ascii="Bookman Old Style" w:hAnsi="Bookman Old Style"/>
          <w:sz w:val="28"/>
          <w:szCs w:val="28"/>
          <w:lang w:val="el-GR" w:bidi="en-US"/>
        </w:rPr>
        <w:t>ζήτημα</w:t>
      </w:r>
      <w:r w:rsidR="000566B2">
        <w:rPr>
          <w:rStyle w:val="BodyTextChar"/>
          <w:rFonts w:ascii="Bookman Old Style" w:hAnsi="Bookman Old Style"/>
          <w:sz w:val="28"/>
          <w:szCs w:val="28"/>
          <w:lang w:val="el-GR" w:bidi="en-US"/>
        </w:rPr>
        <w:t xml:space="preserve"> από την πλευρά των αιτητών, «τις γενικές αρχές το </w:t>
      </w:r>
      <w:r w:rsidR="0080750A">
        <w:rPr>
          <w:rStyle w:val="BodyTextChar"/>
          <w:rFonts w:ascii="Bookman Old Style" w:hAnsi="Bookman Old Style"/>
          <w:sz w:val="28"/>
          <w:szCs w:val="28"/>
          <w:lang w:val="el-GR" w:bidi="en-US"/>
        </w:rPr>
        <w:t>δικαίου</w:t>
      </w:r>
      <w:r w:rsidR="000566B2">
        <w:rPr>
          <w:rStyle w:val="BodyTextChar"/>
          <w:rFonts w:ascii="Bookman Old Style" w:hAnsi="Bookman Old Style"/>
          <w:sz w:val="28"/>
          <w:szCs w:val="28"/>
          <w:lang w:val="el-GR" w:bidi="en-US"/>
        </w:rPr>
        <w:t xml:space="preserve"> των εκκαθαρίσεων»</w:t>
      </w:r>
      <w:r w:rsidR="001845E4">
        <w:rPr>
          <w:rStyle w:val="BodyTextChar"/>
          <w:rFonts w:ascii="Bookman Old Style" w:hAnsi="Bookman Old Style"/>
          <w:sz w:val="28"/>
          <w:szCs w:val="28"/>
          <w:lang w:val="el-GR" w:bidi="en-US"/>
        </w:rPr>
        <w:t>,</w:t>
      </w:r>
      <w:r w:rsidR="000566B2">
        <w:rPr>
          <w:rStyle w:val="BodyTextChar"/>
          <w:rFonts w:ascii="Bookman Old Style" w:hAnsi="Bookman Old Style"/>
          <w:sz w:val="28"/>
          <w:szCs w:val="28"/>
          <w:lang w:val="el-GR" w:bidi="en-US"/>
        </w:rPr>
        <w:t xml:space="preserve"> αποτελ</w:t>
      </w:r>
      <w:r w:rsidR="00125F7D">
        <w:rPr>
          <w:rStyle w:val="BodyTextChar"/>
          <w:rFonts w:ascii="Bookman Old Style" w:hAnsi="Bookman Old Style"/>
          <w:sz w:val="28"/>
          <w:szCs w:val="28"/>
          <w:lang w:val="el-GR" w:bidi="en-US"/>
        </w:rPr>
        <w:t xml:space="preserve">ούν ζητήματα </w:t>
      </w:r>
      <w:r w:rsidR="000566B2">
        <w:rPr>
          <w:rStyle w:val="BodyTextChar"/>
          <w:rFonts w:ascii="Bookman Old Style" w:hAnsi="Bookman Old Style"/>
          <w:sz w:val="28"/>
          <w:szCs w:val="28"/>
          <w:lang w:val="el-GR" w:bidi="en-US"/>
        </w:rPr>
        <w:t>που εξόχως μπορεί να συζητηθ</w:t>
      </w:r>
      <w:r w:rsidR="00125F7D">
        <w:rPr>
          <w:rStyle w:val="BodyTextChar"/>
          <w:rFonts w:ascii="Bookman Old Style" w:hAnsi="Bookman Old Style"/>
          <w:sz w:val="28"/>
          <w:szCs w:val="28"/>
          <w:lang w:val="el-GR" w:bidi="en-US"/>
        </w:rPr>
        <w:t xml:space="preserve">ούν </w:t>
      </w:r>
      <w:r w:rsidR="000566B2">
        <w:rPr>
          <w:rStyle w:val="BodyTextChar"/>
          <w:rFonts w:ascii="Bookman Old Style" w:hAnsi="Bookman Old Style"/>
          <w:sz w:val="28"/>
          <w:szCs w:val="28"/>
          <w:lang w:val="el-GR" w:bidi="en-US"/>
        </w:rPr>
        <w:t>και να απασχολήσ</w:t>
      </w:r>
      <w:r w:rsidR="00125F7D">
        <w:rPr>
          <w:rStyle w:val="BodyTextChar"/>
          <w:rFonts w:ascii="Bookman Old Style" w:hAnsi="Bookman Old Style"/>
          <w:sz w:val="28"/>
          <w:szCs w:val="28"/>
          <w:lang w:val="el-GR" w:bidi="en-US"/>
        </w:rPr>
        <w:t>ουν</w:t>
      </w:r>
      <w:r w:rsidR="000566B2">
        <w:rPr>
          <w:rStyle w:val="BodyTextChar"/>
          <w:rFonts w:ascii="Bookman Old Style" w:hAnsi="Bookman Old Style"/>
          <w:sz w:val="28"/>
          <w:szCs w:val="28"/>
          <w:lang w:val="el-GR" w:bidi="en-US"/>
        </w:rPr>
        <w:t xml:space="preserve"> στα πλαίσια δευτεροβάθμιου δικαστικού </w:t>
      </w:r>
      <w:r w:rsidR="0080750A">
        <w:rPr>
          <w:rStyle w:val="BodyTextChar"/>
          <w:rFonts w:ascii="Bookman Old Style" w:hAnsi="Bookman Old Style"/>
          <w:sz w:val="28"/>
          <w:szCs w:val="28"/>
          <w:lang w:val="el-GR" w:bidi="en-US"/>
        </w:rPr>
        <w:t>ελέγχου</w:t>
      </w:r>
      <w:r w:rsidR="000566B2">
        <w:rPr>
          <w:rStyle w:val="BodyTextChar"/>
          <w:rFonts w:ascii="Bookman Old Style" w:hAnsi="Bookman Old Style"/>
          <w:sz w:val="28"/>
          <w:szCs w:val="28"/>
          <w:lang w:val="el-GR" w:bidi="en-US"/>
        </w:rPr>
        <w:t xml:space="preserve"> της πρωτόδικης απόφασης.</w:t>
      </w:r>
    </w:p>
    <w:p w14:paraId="158B62A3" w14:textId="77777777" w:rsidR="00146210" w:rsidRPr="00146210" w:rsidRDefault="00146210" w:rsidP="00146210">
      <w:pPr>
        <w:pStyle w:val="BodyText"/>
        <w:tabs>
          <w:tab w:val="left" w:pos="509"/>
        </w:tabs>
        <w:spacing w:after="0" w:line="240" w:lineRule="auto"/>
        <w:jc w:val="both"/>
        <w:rPr>
          <w:rStyle w:val="BodyTextChar"/>
          <w:rFonts w:ascii="Bookman Old Style" w:hAnsi="Bookman Old Style"/>
          <w:sz w:val="28"/>
          <w:szCs w:val="28"/>
          <w:lang w:bidi="en-US"/>
        </w:rPr>
      </w:pPr>
    </w:p>
    <w:p w14:paraId="731A7E02" w14:textId="77777777" w:rsidR="00146210" w:rsidRDefault="00146210" w:rsidP="00146210">
      <w:pPr>
        <w:pStyle w:val="BodyText"/>
        <w:tabs>
          <w:tab w:val="left" w:pos="509"/>
        </w:tabs>
        <w:spacing w:after="0" w:line="48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bidi="en-US"/>
        </w:rPr>
        <w:tab/>
      </w:r>
      <w:r w:rsidR="006F40B5">
        <w:rPr>
          <w:rStyle w:val="BodyTextChar"/>
          <w:rFonts w:ascii="Bookman Old Style" w:hAnsi="Bookman Old Style"/>
          <w:sz w:val="28"/>
          <w:szCs w:val="28"/>
          <w:lang w:val="el-GR" w:bidi="en-US"/>
        </w:rPr>
        <w:t>Στη βάση των πιο πάνω</w:t>
      </w:r>
      <w:r w:rsidR="00867C28">
        <w:rPr>
          <w:rStyle w:val="BodyTextChar"/>
          <w:rFonts w:ascii="Bookman Old Style" w:hAnsi="Bookman Old Style"/>
          <w:sz w:val="28"/>
          <w:szCs w:val="28"/>
          <w:lang w:val="el-GR" w:bidi="en-US"/>
        </w:rPr>
        <w:t xml:space="preserve">, </w:t>
      </w:r>
      <w:r w:rsidR="006F40B5">
        <w:rPr>
          <w:rStyle w:val="BodyTextChar"/>
          <w:rFonts w:ascii="Bookman Old Style" w:hAnsi="Bookman Old Style"/>
          <w:sz w:val="28"/>
          <w:szCs w:val="28"/>
          <w:lang w:val="el-GR" w:bidi="en-US"/>
        </w:rPr>
        <w:t>με δε</w:t>
      </w:r>
      <w:r w:rsidR="00867C28">
        <w:rPr>
          <w:rStyle w:val="BodyTextChar"/>
          <w:rFonts w:ascii="Bookman Old Style" w:hAnsi="Bookman Old Style"/>
          <w:sz w:val="28"/>
          <w:szCs w:val="28"/>
          <w:lang w:val="el-GR" w:bidi="en-US"/>
        </w:rPr>
        <w:t>δ</w:t>
      </w:r>
      <w:r w:rsidR="006F40B5">
        <w:rPr>
          <w:rStyle w:val="BodyTextChar"/>
          <w:rFonts w:ascii="Bookman Old Style" w:hAnsi="Bookman Old Style"/>
          <w:sz w:val="28"/>
          <w:szCs w:val="28"/>
          <w:lang w:val="el-GR" w:bidi="en-US"/>
        </w:rPr>
        <w:t>ομένη τη δυνατότητα έφεσης και χωρίς την κατάδειξη εξαιρετικών περιστάσεων</w:t>
      </w:r>
      <w:r w:rsidR="001845E4">
        <w:rPr>
          <w:rStyle w:val="BodyTextChar"/>
          <w:rFonts w:ascii="Bookman Old Style" w:hAnsi="Bookman Old Style"/>
          <w:sz w:val="28"/>
          <w:szCs w:val="28"/>
          <w:lang w:val="el-GR" w:bidi="en-US"/>
        </w:rPr>
        <w:t>,</w:t>
      </w:r>
      <w:r w:rsidR="006F40B5">
        <w:rPr>
          <w:rStyle w:val="BodyTextChar"/>
          <w:rFonts w:ascii="Bookman Old Style" w:hAnsi="Bookman Old Style"/>
          <w:sz w:val="28"/>
          <w:szCs w:val="28"/>
          <w:lang w:val="el-GR" w:bidi="en-US"/>
        </w:rPr>
        <w:t xml:space="preserve"> </w:t>
      </w:r>
      <w:r w:rsidR="00867C28">
        <w:rPr>
          <w:rStyle w:val="BodyTextChar"/>
          <w:rFonts w:ascii="Bookman Old Style" w:hAnsi="Bookman Old Style"/>
          <w:sz w:val="28"/>
          <w:szCs w:val="28"/>
          <w:lang w:val="el-GR" w:bidi="en-US"/>
        </w:rPr>
        <w:t>η</w:t>
      </w:r>
      <w:r w:rsidR="006F40B5">
        <w:rPr>
          <w:rStyle w:val="BodyTextChar"/>
          <w:rFonts w:ascii="Bookman Old Style" w:hAnsi="Bookman Old Style"/>
          <w:sz w:val="28"/>
          <w:szCs w:val="28"/>
          <w:lang w:val="el-GR" w:bidi="en-US"/>
        </w:rPr>
        <w:t xml:space="preserve"> χορήγηση της </w:t>
      </w:r>
      <w:r w:rsidR="00867C28">
        <w:rPr>
          <w:rStyle w:val="BodyTextChar"/>
          <w:rFonts w:ascii="Bookman Old Style" w:hAnsi="Bookman Old Style"/>
          <w:sz w:val="28"/>
          <w:szCs w:val="28"/>
          <w:lang w:val="el-GR" w:bidi="en-US"/>
        </w:rPr>
        <w:t>αιτούμενης</w:t>
      </w:r>
      <w:r w:rsidR="006F40B5">
        <w:rPr>
          <w:rStyle w:val="BodyTextChar"/>
          <w:rFonts w:ascii="Bookman Old Style" w:hAnsi="Bookman Old Style"/>
          <w:sz w:val="28"/>
          <w:szCs w:val="28"/>
          <w:lang w:val="el-GR" w:bidi="en-US"/>
        </w:rPr>
        <w:t xml:space="preserve"> </w:t>
      </w:r>
      <w:r w:rsidR="00867C28">
        <w:rPr>
          <w:rStyle w:val="BodyTextChar"/>
          <w:rFonts w:ascii="Bookman Old Style" w:hAnsi="Bookman Old Style"/>
          <w:sz w:val="28"/>
          <w:szCs w:val="28"/>
          <w:lang w:val="el-GR" w:bidi="en-US"/>
        </w:rPr>
        <w:t>άδειας δεν φαίνεται να δικαιολογείται.</w:t>
      </w:r>
    </w:p>
    <w:p w14:paraId="4A665836" w14:textId="5C70EBFF" w:rsidR="00867C28" w:rsidRDefault="00867C28" w:rsidP="00146210">
      <w:pPr>
        <w:pStyle w:val="BodyText"/>
        <w:tabs>
          <w:tab w:val="left" w:pos="509"/>
        </w:tabs>
        <w:spacing w:after="0" w:line="24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bidi="en-US"/>
        </w:rPr>
        <w:t xml:space="preserve"> </w:t>
      </w:r>
    </w:p>
    <w:p w14:paraId="2C91392C" w14:textId="2DA468DD" w:rsidR="00867C28" w:rsidRDefault="00146210" w:rsidP="001B38FF">
      <w:pPr>
        <w:pStyle w:val="BodyText"/>
        <w:tabs>
          <w:tab w:val="left" w:pos="509"/>
        </w:tabs>
        <w:spacing w:after="540" w:line="480" w:lineRule="auto"/>
        <w:jc w:val="both"/>
        <w:rPr>
          <w:rStyle w:val="BodyTextChar"/>
          <w:rFonts w:ascii="Bookman Old Style" w:hAnsi="Bookman Old Style"/>
          <w:sz w:val="28"/>
          <w:szCs w:val="28"/>
          <w:lang w:val="el-GR" w:bidi="en-US"/>
        </w:rPr>
      </w:pPr>
      <w:r>
        <w:rPr>
          <w:rStyle w:val="BodyTextChar"/>
          <w:rFonts w:ascii="Bookman Old Style" w:hAnsi="Bookman Old Style"/>
          <w:sz w:val="28"/>
          <w:szCs w:val="28"/>
          <w:lang w:val="el-GR" w:bidi="en-US"/>
        </w:rPr>
        <w:tab/>
      </w:r>
      <w:r w:rsidR="00867C28">
        <w:rPr>
          <w:rStyle w:val="BodyTextChar"/>
          <w:rFonts w:ascii="Bookman Old Style" w:hAnsi="Bookman Old Style"/>
          <w:sz w:val="28"/>
          <w:szCs w:val="28"/>
          <w:lang w:val="el-GR" w:bidi="en-US"/>
        </w:rPr>
        <w:t xml:space="preserve">Συνακόλουθα, η </w:t>
      </w:r>
      <w:r w:rsidR="003B6AE4">
        <w:rPr>
          <w:rStyle w:val="BodyTextChar"/>
          <w:rFonts w:ascii="Bookman Old Style" w:hAnsi="Bookman Old Style"/>
          <w:sz w:val="28"/>
          <w:szCs w:val="28"/>
          <w:lang w:val="el-GR" w:bidi="en-US"/>
        </w:rPr>
        <w:t xml:space="preserve">υπό </w:t>
      </w:r>
      <w:r w:rsidR="00867C28">
        <w:rPr>
          <w:rStyle w:val="BodyTextChar"/>
          <w:rFonts w:ascii="Bookman Old Style" w:hAnsi="Bookman Old Style"/>
          <w:sz w:val="28"/>
          <w:szCs w:val="28"/>
          <w:lang w:val="el-GR" w:bidi="en-US"/>
        </w:rPr>
        <w:t xml:space="preserve">συζήτηση αίτηση </w:t>
      </w:r>
      <w:r w:rsidR="00AF6091">
        <w:rPr>
          <w:rStyle w:val="BodyTextChar"/>
          <w:rFonts w:ascii="Bookman Old Style" w:hAnsi="Bookman Old Style"/>
          <w:sz w:val="28"/>
          <w:szCs w:val="28"/>
          <w:lang w:val="el-GR" w:bidi="en-US"/>
        </w:rPr>
        <w:t>απορρίπτεται</w:t>
      </w:r>
      <w:r w:rsidR="00867C28">
        <w:rPr>
          <w:rStyle w:val="BodyTextChar"/>
          <w:rFonts w:ascii="Bookman Old Style" w:hAnsi="Bookman Old Style"/>
          <w:sz w:val="28"/>
          <w:szCs w:val="28"/>
          <w:lang w:val="el-GR" w:bidi="en-US"/>
        </w:rPr>
        <w:t xml:space="preserve">.  </w:t>
      </w:r>
    </w:p>
    <w:p w14:paraId="4A08EF38" w14:textId="77777777" w:rsidR="00AF6091" w:rsidRDefault="00AF6091" w:rsidP="00146210">
      <w:pPr>
        <w:spacing w:before="100" w:beforeAutospacing="1" w:after="100" w:afterAutospacing="1" w:line="360" w:lineRule="auto"/>
        <w:ind w:left="5040" w:firstLine="720"/>
        <w:rPr>
          <w:rFonts w:ascii="Bookman Old Style" w:eastAsia="Times New Roman" w:hAnsi="Bookman Old Style"/>
          <w:color w:val="000000"/>
          <w:kern w:val="0"/>
          <w:sz w:val="28"/>
          <w:szCs w:val="28"/>
          <w:lang w:val="el-GR"/>
          <w14:ligatures w14:val="none"/>
        </w:rPr>
      </w:pPr>
      <w:r w:rsidRPr="0083722D">
        <w:rPr>
          <w:rFonts w:ascii="Bookman Old Style" w:eastAsia="Times New Roman" w:hAnsi="Bookman Old Style"/>
          <w:color w:val="000000"/>
          <w:kern w:val="0"/>
          <w:sz w:val="28"/>
          <w:szCs w:val="28"/>
          <w:lang w:val="el-GR"/>
          <w14:ligatures w14:val="none"/>
        </w:rPr>
        <w:t>Α. ΔΑΥΙΔ, Δ.</w:t>
      </w:r>
    </w:p>
    <w:p w14:paraId="47AEFD31" w14:textId="77777777" w:rsidR="00146210" w:rsidRDefault="00146210" w:rsidP="00146210">
      <w:pPr>
        <w:spacing w:before="100" w:beforeAutospacing="1" w:after="100" w:afterAutospacing="1" w:line="360" w:lineRule="auto"/>
        <w:rPr>
          <w:rFonts w:ascii="Bookman Old Style" w:eastAsia="Times New Roman" w:hAnsi="Bookman Old Style"/>
          <w:color w:val="000000"/>
          <w:kern w:val="0"/>
          <w:sz w:val="28"/>
          <w:szCs w:val="28"/>
          <w:lang w:val="el-GR"/>
          <w14:ligatures w14:val="none"/>
        </w:rPr>
      </w:pPr>
    </w:p>
    <w:p w14:paraId="65FBD82D" w14:textId="74C70C07" w:rsidR="0027383B" w:rsidRPr="003164C1" w:rsidRDefault="00146210" w:rsidP="00146210">
      <w:pPr>
        <w:spacing w:before="100" w:beforeAutospacing="1" w:after="100" w:afterAutospacing="1" w:line="360" w:lineRule="auto"/>
        <w:rPr>
          <w:lang w:val="el-GR"/>
        </w:rPr>
      </w:pPr>
      <w:r>
        <w:rPr>
          <w:rFonts w:ascii="Bookman Old Style" w:eastAsia="Times New Roman" w:hAnsi="Bookman Old Style"/>
          <w:color w:val="000000"/>
          <w:kern w:val="0"/>
          <w:sz w:val="28"/>
          <w:szCs w:val="28"/>
          <w14:ligatures w14:val="none"/>
        </w:rPr>
        <w:t>/</w:t>
      </w:r>
      <w:proofErr w:type="spellStart"/>
      <w:r>
        <w:rPr>
          <w:rFonts w:ascii="Bookman Old Style" w:eastAsia="Times New Roman" w:hAnsi="Bookman Old Style"/>
          <w:color w:val="000000"/>
          <w:kern w:val="0"/>
          <w:sz w:val="28"/>
          <w:szCs w:val="28"/>
          <w:lang w:val="el-GR"/>
          <w14:ligatures w14:val="none"/>
        </w:rPr>
        <w:t>κβπ</w:t>
      </w:r>
      <w:proofErr w:type="spellEnd"/>
    </w:p>
    <w:sectPr w:rsidR="0027383B" w:rsidRPr="003164C1" w:rsidSect="00AD659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9228" w14:textId="77777777" w:rsidR="00AF6E7F" w:rsidRDefault="00AF6E7F" w:rsidP="00AD659C">
      <w:pPr>
        <w:spacing w:after="0" w:line="240" w:lineRule="auto"/>
      </w:pPr>
      <w:r>
        <w:separator/>
      </w:r>
    </w:p>
  </w:endnote>
  <w:endnote w:type="continuationSeparator" w:id="0">
    <w:p w14:paraId="62EC1BC4" w14:textId="77777777" w:rsidR="00AF6E7F" w:rsidRDefault="00AF6E7F" w:rsidP="00AD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4074" w14:textId="77777777" w:rsidR="00AF6E7F" w:rsidRDefault="00AF6E7F" w:rsidP="00AD659C">
      <w:pPr>
        <w:spacing w:after="0" w:line="240" w:lineRule="auto"/>
      </w:pPr>
      <w:r>
        <w:separator/>
      </w:r>
    </w:p>
  </w:footnote>
  <w:footnote w:type="continuationSeparator" w:id="0">
    <w:p w14:paraId="4DB091F5" w14:textId="77777777" w:rsidR="00AF6E7F" w:rsidRDefault="00AF6E7F" w:rsidP="00AD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033199"/>
      <w:docPartObj>
        <w:docPartGallery w:val="Page Numbers (Top of Page)"/>
        <w:docPartUnique/>
      </w:docPartObj>
    </w:sdtPr>
    <w:sdtEndPr>
      <w:rPr>
        <w:noProof/>
      </w:rPr>
    </w:sdtEndPr>
    <w:sdtContent>
      <w:p w14:paraId="508948DF" w14:textId="1D53B7AA" w:rsidR="00AD659C" w:rsidRDefault="00AD659C">
        <w:pPr>
          <w:pStyle w:val="Header"/>
          <w:jc w:val="center"/>
        </w:pPr>
        <w:r>
          <w:fldChar w:fldCharType="begin"/>
        </w:r>
        <w:r>
          <w:instrText xml:space="preserve"> PAGE   \* MERGEFORMAT </w:instrText>
        </w:r>
        <w:r>
          <w:fldChar w:fldCharType="separate"/>
        </w:r>
        <w:r w:rsidR="00E35755">
          <w:rPr>
            <w:noProof/>
          </w:rPr>
          <w:t>17</w:t>
        </w:r>
        <w:r>
          <w:rPr>
            <w:noProof/>
          </w:rPr>
          <w:fldChar w:fldCharType="end"/>
        </w:r>
      </w:p>
    </w:sdtContent>
  </w:sdt>
  <w:p w14:paraId="097B88B4" w14:textId="77777777" w:rsidR="00AD659C" w:rsidRDefault="00AD65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709"/>
    <w:multiLevelType w:val="hybridMultilevel"/>
    <w:tmpl w:val="BF9413BC"/>
    <w:lvl w:ilvl="0" w:tplc="77EAB1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C0269E9"/>
    <w:multiLevelType w:val="multilevel"/>
    <w:tmpl w:val="C85269F4"/>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513F60"/>
    <w:multiLevelType w:val="multilevel"/>
    <w:tmpl w:val="FBB629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C23154"/>
    <w:multiLevelType w:val="multilevel"/>
    <w:tmpl w:val="FBB629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B4FBA"/>
    <w:multiLevelType w:val="multilevel"/>
    <w:tmpl w:val="960A98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FC7EF3"/>
    <w:multiLevelType w:val="hybridMultilevel"/>
    <w:tmpl w:val="59E40794"/>
    <w:lvl w:ilvl="0" w:tplc="057CCF1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7C"/>
    <w:rsid w:val="000116F1"/>
    <w:rsid w:val="00022F05"/>
    <w:rsid w:val="000251E7"/>
    <w:rsid w:val="00050C63"/>
    <w:rsid w:val="00053F0F"/>
    <w:rsid w:val="000557B6"/>
    <w:rsid w:val="000566B2"/>
    <w:rsid w:val="0007795C"/>
    <w:rsid w:val="00091F02"/>
    <w:rsid w:val="000E2018"/>
    <w:rsid w:val="000F0AC2"/>
    <w:rsid w:val="000F0BD1"/>
    <w:rsid w:val="00105613"/>
    <w:rsid w:val="0010656E"/>
    <w:rsid w:val="0011129B"/>
    <w:rsid w:val="00112749"/>
    <w:rsid w:val="001175D3"/>
    <w:rsid w:val="00121405"/>
    <w:rsid w:val="00125F7D"/>
    <w:rsid w:val="00126BAF"/>
    <w:rsid w:val="00127091"/>
    <w:rsid w:val="001321ED"/>
    <w:rsid w:val="00136FAF"/>
    <w:rsid w:val="00146210"/>
    <w:rsid w:val="00177CBF"/>
    <w:rsid w:val="00182BC1"/>
    <w:rsid w:val="001845E4"/>
    <w:rsid w:val="00195BDE"/>
    <w:rsid w:val="001A3DCF"/>
    <w:rsid w:val="001A6FD1"/>
    <w:rsid w:val="001B38FF"/>
    <w:rsid w:val="001C0C7E"/>
    <w:rsid w:val="001E3403"/>
    <w:rsid w:val="001F3B8E"/>
    <w:rsid w:val="001F6C31"/>
    <w:rsid w:val="001F6F88"/>
    <w:rsid w:val="00211620"/>
    <w:rsid w:val="002142F8"/>
    <w:rsid w:val="00236450"/>
    <w:rsid w:val="002403B6"/>
    <w:rsid w:val="00256873"/>
    <w:rsid w:val="0027383B"/>
    <w:rsid w:val="00280013"/>
    <w:rsid w:val="0028055E"/>
    <w:rsid w:val="00297CDA"/>
    <w:rsid w:val="002A0828"/>
    <w:rsid w:val="002A3E62"/>
    <w:rsid w:val="002B2406"/>
    <w:rsid w:val="002C3058"/>
    <w:rsid w:val="00303643"/>
    <w:rsid w:val="00310B3D"/>
    <w:rsid w:val="003164C1"/>
    <w:rsid w:val="00352B89"/>
    <w:rsid w:val="00376239"/>
    <w:rsid w:val="003925E5"/>
    <w:rsid w:val="003A357B"/>
    <w:rsid w:val="003B6AE4"/>
    <w:rsid w:val="003C5FE8"/>
    <w:rsid w:val="004120CE"/>
    <w:rsid w:val="004175D7"/>
    <w:rsid w:val="00447CDD"/>
    <w:rsid w:val="00461151"/>
    <w:rsid w:val="004915F2"/>
    <w:rsid w:val="00492FA9"/>
    <w:rsid w:val="00493489"/>
    <w:rsid w:val="00496191"/>
    <w:rsid w:val="00496518"/>
    <w:rsid w:val="004A16EB"/>
    <w:rsid w:val="004C5E71"/>
    <w:rsid w:val="00516385"/>
    <w:rsid w:val="005173B1"/>
    <w:rsid w:val="0053721D"/>
    <w:rsid w:val="00540240"/>
    <w:rsid w:val="0057587C"/>
    <w:rsid w:val="00587ECD"/>
    <w:rsid w:val="00593CD8"/>
    <w:rsid w:val="005B1B27"/>
    <w:rsid w:val="005B29C3"/>
    <w:rsid w:val="005B4B3E"/>
    <w:rsid w:val="005D7977"/>
    <w:rsid w:val="005E16C4"/>
    <w:rsid w:val="005E2C98"/>
    <w:rsid w:val="005F181E"/>
    <w:rsid w:val="005F7E99"/>
    <w:rsid w:val="006147B5"/>
    <w:rsid w:val="00623C39"/>
    <w:rsid w:val="00636670"/>
    <w:rsid w:val="00645A48"/>
    <w:rsid w:val="00647E61"/>
    <w:rsid w:val="00650AF3"/>
    <w:rsid w:val="00651157"/>
    <w:rsid w:val="00657B2C"/>
    <w:rsid w:val="00661829"/>
    <w:rsid w:val="00663E02"/>
    <w:rsid w:val="006701B4"/>
    <w:rsid w:val="006749F0"/>
    <w:rsid w:val="00694891"/>
    <w:rsid w:val="006B4784"/>
    <w:rsid w:val="006C03A9"/>
    <w:rsid w:val="006C4705"/>
    <w:rsid w:val="006F40B5"/>
    <w:rsid w:val="00731D47"/>
    <w:rsid w:val="00735A42"/>
    <w:rsid w:val="00780571"/>
    <w:rsid w:val="007A1643"/>
    <w:rsid w:val="007A3930"/>
    <w:rsid w:val="007B3C79"/>
    <w:rsid w:val="007B4C53"/>
    <w:rsid w:val="007B6A1D"/>
    <w:rsid w:val="007F0351"/>
    <w:rsid w:val="0080750A"/>
    <w:rsid w:val="00825617"/>
    <w:rsid w:val="0082762D"/>
    <w:rsid w:val="00831A6F"/>
    <w:rsid w:val="00842DF5"/>
    <w:rsid w:val="0084671B"/>
    <w:rsid w:val="008470A2"/>
    <w:rsid w:val="008511DF"/>
    <w:rsid w:val="008553ED"/>
    <w:rsid w:val="00867C28"/>
    <w:rsid w:val="008756FE"/>
    <w:rsid w:val="008811D6"/>
    <w:rsid w:val="00882FF7"/>
    <w:rsid w:val="008B4E1A"/>
    <w:rsid w:val="008B7D05"/>
    <w:rsid w:val="008C13D3"/>
    <w:rsid w:val="008C7FC0"/>
    <w:rsid w:val="008F0102"/>
    <w:rsid w:val="008F68ED"/>
    <w:rsid w:val="0091069C"/>
    <w:rsid w:val="00917304"/>
    <w:rsid w:val="0093286B"/>
    <w:rsid w:val="0093593F"/>
    <w:rsid w:val="00946255"/>
    <w:rsid w:val="0095329F"/>
    <w:rsid w:val="00956988"/>
    <w:rsid w:val="0095765A"/>
    <w:rsid w:val="009647DB"/>
    <w:rsid w:val="0098687C"/>
    <w:rsid w:val="00996A12"/>
    <w:rsid w:val="009B5638"/>
    <w:rsid w:val="009B5FCF"/>
    <w:rsid w:val="009C04E9"/>
    <w:rsid w:val="009C0DEF"/>
    <w:rsid w:val="00A00554"/>
    <w:rsid w:val="00A5523B"/>
    <w:rsid w:val="00A630B0"/>
    <w:rsid w:val="00A93FD4"/>
    <w:rsid w:val="00A94C00"/>
    <w:rsid w:val="00A95BE3"/>
    <w:rsid w:val="00AB08FC"/>
    <w:rsid w:val="00AB70B9"/>
    <w:rsid w:val="00AC7CB3"/>
    <w:rsid w:val="00AD659C"/>
    <w:rsid w:val="00AF2DE6"/>
    <w:rsid w:val="00AF6091"/>
    <w:rsid w:val="00AF659B"/>
    <w:rsid w:val="00AF6E7F"/>
    <w:rsid w:val="00B1226A"/>
    <w:rsid w:val="00B35AF1"/>
    <w:rsid w:val="00B45E7E"/>
    <w:rsid w:val="00B5502E"/>
    <w:rsid w:val="00B6148F"/>
    <w:rsid w:val="00B62EA2"/>
    <w:rsid w:val="00B817C7"/>
    <w:rsid w:val="00B94B7E"/>
    <w:rsid w:val="00BA1479"/>
    <w:rsid w:val="00BB489F"/>
    <w:rsid w:val="00BB739F"/>
    <w:rsid w:val="00BC60D8"/>
    <w:rsid w:val="00BD1620"/>
    <w:rsid w:val="00BE7B9B"/>
    <w:rsid w:val="00BF4943"/>
    <w:rsid w:val="00C02D9A"/>
    <w:rsid w:val="00C07ED2"/>
    <w:rsid w:val="00C1654B"/>
    <w:rsid w:val="00C25841"/>
    <w:rsid w:val="00C364C3"/>
    <w:rsid w:val="00C579CD"/>
    <w:rsid w:val="00C72000"/>
    <w:rsid w:val="00CB625E"/>
    <w:rsid w:val="00CD350C"/>
    <w:rsid w:val="00CD6AF2"/>
    <w:rsid w:val="00CE09A1"/>
    <w:rsid w:val="00CE4F56"/>
    <w:rsid w:val="00D010DA"/>
    <w:rsid w:val="00D061BE"/>
    <w:rsid w:val="00D07324"/>
    <w:rsid w:val="00D115DF"/>
    <w:rsid w:val="00D13295"/>
    <w:rsid w:val="00D40FAD"/>
    <w:rsid w:val="00D65447"/>
    <w:rsid w:val="00D74436"/>
    <w:rsid w:val="00D76792"/>
    <w:rsid w:val="00D95CAD"/>
    <w:rsid w:val="00D97D0B"/>
    <w:rsid w:val="00DC0AE4"/>
    <w:rsid w:val="00DC0B13"/>
    <w:rsid w:val="00DC0C14"/>
    <w:rsid w:val="00DC64BE"/>
    <w:rsid w:val="00DE4509"/>
    <w:rsid w:val="00DE728A"/>
    <w:rsid w:val="00DF5F4F"/>
    <w:rsid w:val="00E05677"/>
    <w:rsid w:val="00E06A78"/>
    <w:rsid w:val="00E12AF0"/>
    <w:rsid w:val="00E1687D"/>
    <w:rsid w:val="00E344DC"/>
    <w:rsid w:val="00E35755"/>
    <w:rsid w:val="00E417BD"/>
    <w:rsid w:val="00E55D82"/>
    <w:rsid w:val="00E5699E"/>
    <w:rsid w:val="00E57F3A"/>
    <w:rsid w:val="00E66E5E"/>
    <w:rsid w:val="00E7348B"/>
    <w:rsid w:val="00EB5E34"/>
    <w:rsid w:val="00EB749C"/>
    <w:rsid w:val="00EB7F9C"/>
    <w:rsid w:val="00ED17A5"/>
    <w:rsid w:val="00EE30F8"/>
    <w:rsid w:val="00F0095D"/>
    <w:rsid w:val="00F10EEF"/>
    <w:rsid w:val="00F22665"/>
    <w:rsid w:val="00F362D8"/>
    <w:rsid w:val="00F43667"/>
    <w:rsid w:val="00F75AB7"/>
    <w:rsid w:val="00F96E7C"/>
    <w:rsid w:val="00F973AD"/>
    <w:rsid w:val="00FA354C"/>
    <w:rsid w:val="00FB2009"/>
    <w:rsid w:val="00FF43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F21B"/>
  <w15:chartTrackingRefBased/>
  <w15:docId w15:val="{F0FC1222-0100-4A45-AA51-EC514F09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20"/>
    <w:pPr>
      <w:spacing w:after="160" w:line="259" w:lineRule="auto"/>
      <w:jc w:val="left"/>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sid w:val="0098687C"/>
    <w:rPr>
      <w:rFonts w:ascii="Calibri" w:eastAsia="Calibri" w:hAnsi="Calibri" w:cs="Calibri"/>
      <w:b/>
      <w:bCs/>
      <w:sz w:val="20"/>
      <w:szCs w:val="20"/>
    </w:rPr>
  </w:style>
  <w:style w:type="character" w:customStyle="1" w:styleId="BodyTextChar">
    <w:name w:val="Body Text Char"/>
    <w:basedOn w:val="DefaultParagraphFont"/>
    <w:link w:val="BodyText"/>
    <w:rsid w:val="0098687C"/>
    <w:rPr>
      <w:rFonts w:ascii="Calibri" w:eastAsia="Calibri" w:hAnsi="Calibri" w:cs="Calibri"/>
      <w:sz w:val="20"/>
      <w:szCs w:val="20"/>
    </w:rPr>
  </w:style>
  <w:style w:type="paragraph" w:customStyle="1" w:styleId="Heading20">
    <w:name w:val="Heading #2"/>
    <w:basedOn w:val="Normal"/>
    <w:link w:val="Heading2"/>
    <w:rsid w:val="0098687C"/>
    <w:pPr>
      <w:widowControl w:val="0"/>
      <w:spacing w:after="260" w:line="293" w:lineRule="auto"/>
      <w:jc w:val="center"/>
      <w:outlineLvl w:val="1"/>
    </w:pPr>
    <w:rPr>
      <w:rFonts w:ascii="Calibri" w:eastAsia="Calibri" w:hAnsi="Calibri" w:cs="Calibri"/>
      <w:b/>
      <w:bCs/>
      <w:sz w:val="20"/>
      <w:szCs w:val="20"/>
      <w:lang w:bidi="he-IL"/>
    </w:rPr>
  </w:style>
  <w:style w:type="paragraph" w:styleId="BodyText">
    <w:name w:val="Body Text"/>
    <w:basedOn w:val="Normal"/>
    <w:link w:val="BodyTextChar"/>
    <w:qFormat/>
    <w:rsid w:val="0098687C"/>
    <w:pPr>
      <w:widowControl w:val="0"/>
      <w:spacing w:after="260" w:line="290" w:lineRule="auto"/>
    </w:pPr>
    <w:rPr>
      <w:rFonts w:ascii="Calibri" w:eastAsia="Calibri" w:hAnsi="Calibri" w:cs="Calibri"/>
      <w:sz w:val="20"/>
      <w:szCs w:val="20"/>
      <w:lang w:bidi="he-IL"/>
    </w:rPr>
  </w:style>
  <w:style w:type="character" w:customStyle="1" w:styleId="BodyTextChar1">
    <w:name w:val="Body Text Char1"/>
    <w:basedOn w:val="DefaultParagraphFont"/>
    <w:uiPriority w:val="99"/>
    <w:semiHidden/>
    <w:rsid w:val="0098687C"/>
    <w:rPr>
      <w:lang w:bidi="ar-SA"/>
    </w:rPr>
  </w:style>
  <w:style w:type="character" w:customStyle="1" w:styleId="Headerorfooter2">
    <w:name w:val="Header or footer (2)_"/>
    <w:basedOn w:val="DefaultParagraphFont"/>
    <w:link w:val="Headerorfooter20"/>
    <w:rsid w:val="0098687C"/>
    <w:rPr>
      <w:rFonts w:ascii="Times New Roman" w:eastAsia="Times New Roman" w:hAnsi="Times New Roman" w:cs="Times New Roman"/>
      <w:sz w:val="20"/>
      <w:szCs w:val="20"/>
      <w:lang w:val="en-US" w:bidi="en-US"/>
    </w:rPr>
  </w:style>
  <w:style w:type="paragraph" w:customStyle="1" w:styleId="Headerorfooter20">
    <w:name w:val="Header or footer (2)"/>
    <w:basedOn w:val="Normal"/>
    <w:link w:val="Headerorfooter2"/>
    <w:rsid w:val="0098687C"/>
    <w:pPr>
      <w:widowControl w:val="0"/>
      <w:spacing w:after="0" w:line="240" w:lineRule="auto"/>
    </w:pPr>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AD6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59C"/>
    <w:rPr>
      <w:lang w:bidi="ar-SA"/>
    </w:rPr>
  </w:style>
  <w:style w:type="paragraph" w:styleId="Footer">
    <w:name w:val="footer"/>
    <w:basedOn w:val="Normal"/>
    <w:link w:val="FooterChar"/>
    <w:uiPriority w:val="99"/>
    <w:unhideWhenUsed/>
    <w:rsid w:val="00AD6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59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48F1-4CC2-4EA4-A6EB-FE846997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3631</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2023-08-29T04:30:00Z</cp:lastPrinted>
  <dcterms:created xsi:type="dcterms:W3CDTF">2023-09-04T10:59:00Z</dcterms:created>
  <dcterms:modified xsi:type="dcterms:W3CDTF">2023-09-04T10:59:00Z</dcterms:modified>
</cp:coreProperties>
</file>